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F0B4" w14:textId="77777777" w:rsidR="00011920" w:rsidRPr="00FF7F8C" w:rsidRDefault="008E644F" w:rsidP="00E12F0A">
      <w:pPr>
        <w:ind w:left="-851" w:right="-755"/>
        <w:rPr>
          <w:rFonts w:ascii="Arial" w:hAnsi="Arial" w:cs="Arial"/>
          <w:b/>
          <w:sz w:val="20"/>
          <w:szCs w:val="20"/>
        </w:rPr>
      </w:pPr>
      <w:r w:rsidRPr="00FF7F8C">
        <w:rPr>
          <w:rFonts w:ascii="Arial" w:hAnsi="Arial" w:cs="Arial"/>
          <w:b/>
          <w:sz w:val="20"/>
          <w:szCs w:val="20"/>
        </w:rPr>
        <w:t xml:space="preserve">APPENDIX 4- Guidance on </w:t>
      </w:r>
      <w:r w:rsidR="00BF07AC" w:rsidRPr="00FF7F8C">
        <w:rPr>
          <w:rFonts w:ascii="Arial" w:hAnsi="Arial" w:cs="Arial"/>
          <w:b/>
          <w:sz w:val="20"/>
          <w:szCs w:val="20"/>
        </w:rPr>
        <w:t>the provision of e</w:t>
      </w:r>
      <w:r w:rsidRPr="00FF7F8C">
        <w:rPr>
          <w:rFonts w:ascii="Arial" w:hAnsi="Arial" w:cs="Arial"/>
          <w:b/>
          <w:sz w:val="20"/>
          <w:szCs w:val="20"/>
        </w:rPr>
        <w:t>vidence</w:t>
      </w:r>
      <w:r w:rsidR="00AE0E6A" w:rsidRPr="00FF7F8C">
        <w:rPr>
          <w:rFonts w:ascii="Arial" w:hAnsi="Arial" w:cs="Arial"/>
          <w:b/>
          <w:sz w:val="20"/>
          <w:szCs w:val="20"/>
        </w:rPr>
        <w:t xml:space="preserve"> </w:t>
      </w:r>
    </w:p>
    <w:p w14:paraId="5976F0B5" w14:textId="2B51DA47" w:rsidR="008E644F" w:rsidRPr="00FF7F8C" w:rsidRDefault="00BF07AC" w:rsidP="00D1079F">
      <w:pPr>
        <w:spacing w:line="22" w:lineRule="atLeast"/>
        <w:ind w:left="-851" w:right="-755"/>
        <w:jc w:val="both"/>
        <w:rPr>
          <w:rFonts w:ascii="Arial" w:hAnsi="Arial" w:cs="Arial"/>
          <w:b/>
          <w:sz w:val="20"/>
          <w:szCs w:val="20"/>
        </w:rPr>
      </w:pPr>
      <w:r w:rsidRPr="00FF7F8C">
        <w:rPr>
          <w:rFonts w:ascii="Arial" w:hAnsi="Arial" w:cs="Arial"/>
          <w:sz w:val="20"/>
          <w:szCs w:val="20"/>
        </w:rPr>
        <w:t>The relevant sections of the guidance below should be utilised by programme team members and students who are asked to provide evidence and/ or</w:t>
      </w:r>
      <w:r w:rsidR="003925D7">
        <w:rPr>
          <w:rFonts w:ascii="Arial" w:hAnsi="Arial" w:cs="Arial"/>
          <w:sz w:val="20"/>
          <w:szCs w:val="20"/>
        </w:rPr>
        <w:t xml:space="preserve"> statements for consideration </w:t>
      </w:r>
      <w:r w:rsidR="00BF795D" w:rsidRPr="00FF7F8C">
        <w:rPr>
          <w:rFonts w:ascii="Arial" w:hAnsi="Arial" w:cs="Arial"/>
          <w:sz w:val="20"/>
          <w:szCs w:val="20"/>
        </w:rPr>
        <w:t>at preliminary consideration or for</w:t>
      </w:r>
      <w:r w:rsidRPr="00FF7F8C">
        <w:rPr>
          <w:rFonts w:ascii="Arial" w:hAnsi="Arial" w:cs="Arial"/>
          <w:sz w:val="20"/>
          <w:szCs w:val="20"/>
        </w:rPr>
        <w:t xml:space="preserve"> an Academic Offences</w:t>
      </w:r>
      <w:r w:rsidR="00424FDF">
        <w:rPr>
          <w:rFonts w:ascii="Arial" w:hAnsi="Arial" w:cs="Arial"/>
          <w:sz w:val="20"/>
          <w:szCs w:val="20"/>
        </w:rPr>
        <w:t xml:space="preserve"> investigation,</w:t>
      </w:r>
      <w:r w:rsidRPr="00FF7F8C">
        <w:rPr>
          <w:rFonts w:ascii="Arial" w:hAnsi="Arial" w:cs="Arial"/>
          <w:sz w:val="20"/>
          <w:szCs w:val="20"/>
        </w:rPr>
        <w:t xml:space="preserve"> Panel or Board.</w:t>
      </w:r>
      <w:r w:rsidRPr="00FF7F8C">
        <w:rPr>
          <w:rFonts w:ascii="Arial" w:hAnsi="Arial" w:cs="Arial"/>
          <w:b/>
          <w:sz w:val="20"/>
          <w:szCs w:val="20"/>
        </w:rPr>
        <w:t xml:space="preserve"> </w:t>
      </w:r>
    </w:p>
    <w:p w14:paraId="5976F0B6" w14:textId="77777777" w:rsidR="00BF07AC" w:rsidRPr="00FF7F8C" w:rsidRDefault="00BF07AC" w:rsidP="00D1079F">
      <w:pPr>
        <w:spacing w:line="22" w:lineRule="atLeast"/>
        <w:ind w:left="-851" w:right="-755"/>
        <w:jc w:val="both"/>
        <w:rPr>
          <w:rFonts w:ascii="Arial" w:hAnsi="Arial" w:cs="Arial"/>
          <w:b/>
          <w:sz w:val="20"/>
          <w:szCs w:val="20"/>
        </w:rPr>
      </w:pPr>
    </w:p>
    <w:p w14:paraId="5976F0B7" w14:textId="77777777" w:rsidR="00BF07AC" w:rsidRPr="00FF7F8C" w:rsidRDefault="00BF07AC" w:rsidP="00D1079F">
      <w:pPr>
        <w:pStyle w:val="ListParagraph"/>
        <w:numPr>
          <w:ilvl w:val="0"/>
          <w:numId w:val="4"/>
        </w:numPr>
        <w:spacing w:after="0" w:line="22" w:lineRule="atLeast"/>
        <w:ind w:left="-567" w:right="-755" w:hanging="284"/>
        <w:jc w:val="both"/>
        <w:rPr>
          <w:rFonts w:ascii="Arial" w:hAnsi="Arial" w:cs="Arial"/>
          <w:b/>
          <w:sz w:val="20"/>
          <w:szCs w:val="20"/>
        </w:rPr>
      </w:pPr>
      <w:r w:rsidRPr="00FF7F8C">
        <w:rPr>
          <w:rFonts w:ascii="Arial" w:hAnsi="Arial" w:cs="Arial"/>
          <w:b/>
          <w:sz w:val="20"/>
          <w:szCs w:val="20"/>
        </w:rPr>
        <w:t>Guidance for Programme Teams</w:t>
      </w:r>
    </w:p>
    <w:p w14:paraId="5976F0B8" w14:textId="77777777" w:rsidR="00BF07AC" w:rsidRPr="00FF7F8C" w:rsidRDefault="00BF07AC" w:rsidP="00D1079F">
      <w:pPr>
        <w:spacing w:after="0" w:line="22" w:lineRule="atLeast"/>
        <w:ind w:left="-851" w:right="-755"/>
        <w:jc w:val="both"/>
        <w:rPr>
          <w:rFonts w:ascii="Arial" w:hAnsi="Arial" w:cs="Arial"/>
          <w:b/>
          <w:sz w:val="20"/>
          <w:szCs w:val="20"/>
        </w:rPr>
      </w:pPr>
    </w:p>
    <w:p w14:paraId="5976F0B9" w14:textId="77777777" w:rsidR="008E644F" w:rsidRPr="00FF7F8C" w:rsidRDefault="008E644F" w:rsidP="00D1079F">
      <w:pPr>
        <w:spacing w:after="0" w:line="22" w:lineRule="atLeast"/>
        <w:ind w:left="-851" w:right="-755"/>
        <w:jc w:val="both"/>
        <w:rPr>
          <w:rFonts w:ascii="Arial" w:hAnsi="Arial" w:cs="Arial"/>
          <w:b/>
          <w:sz w:val="20"/>
          <w:szCs w:val="20"/>
        </w:rPr>
      </w:pPr>
      <w:r w:rsidRPr="00FF7F8C">
        <w:rPr>
          <w:rFonts w:ascii="Arial" w:hAnsi="Arial" w:cs="Arial"/>
          <w:b/>
          <w:sz w:val="20"/>
          <w:szCs w:val="20"/>
        </w:rPr>
        <w:t xml:space="preserve">General guidance </w:t>
      </w:r>
    </w:p>
    <w:p w14:paraId="5976F0BA" w14:textId="77777777" w:rsidR="008E644F" w:rsidRPr="00FF7F8C" w:rsidRDefault="00BF07AC" w:rsidP="00D1079F">
      <w:pPr>
        <w:spacing w:after="0" w:line="22" w:lineRule="atLeast"/>
        <w:ind w:left="-851" w:right="-755"/>
        <w:jc w:val="both"/>
        <w:rPr>
          <w:rFonts w:ascii="Arial" w:hAnsi="Arial" w:cs="Arial"/>
          <w:sz w:val="20"/>
          <w:szCs w:val="20"/>
        </w:rPr>
      </w:pPr>
      <w:r w:rsidRPr="00FF7F8C">
        <w:rPr>
          <w:rFonts w:ascii="Arial" w:hAnsi="Arial" w:cs="Arial"/>
          <w:sz w:val="20"/>
          <w:szCs w:val="20"/>
        </w:rPr>
        <w:t>The programme team</w:t>
      </w:r>
      <w:r w:rsidR="008E644F" w:rsidRPr="00FF7F8C">
        <w:rPr>
          <w:rFonts w:ascii="Arial" w:hAnsi="Arial" w:cs="Arial"/>
          <w:sz w:val="20"/>
          <w:szCs w:val="20"/>
        </w:rPr>
        <w:t xml:space="preserve"> should endeavour to ensure the evidence provided is transparent and detailed to provide a useful overview of the suspected academic offence.</w:t>
      </w:r>
    </w:p>
    <w:p w14:paraId="5976F0BB" w14:textId="77777777" w:rsidR="008E644F" w:rsidRPr="00FF7F8C" w:rsidRDefault="008E644F" w:rsidP="00D1079F">
      <w:pPr>
        <w:spacing w:after="0" w:line="22" w:lineRule="atLeast"/>
        <w:ind w:left="-851" w:right="-755"/>
        <w:jc w:val="both"/>
        <w:rPr>
          <w:rFonts w:ascii="Arial" w:hAnsi="Arial" w:cs="Arial"/>
          <w:sz w:val="20"/>
          <w:szCs w:val="20"/>
        </w:rPr>
      </w:pPr>
    </w:p>
    <w:p w14:paraId="5976F0BC" w14:textId="77777777" w:rsidR="008E644F" w:rsidRPr="00FF7F8C" w:rsidRDefault="008E644F" w:rsidP="00D1079F">
      <w:pPr>
        <w:spacing w:after="0" w:line="22" w:lineRule="atLeast"/>
        <w:ind w:left="-851" w:right="-755"/>
        <w:jc w:val="both"/>
        <w:rPr>
          <w:rFonts w:ascii="Arial" w:hAnsi="Arial" w:cs="Arial"/>
          <w:sz w:val="20"/>
          <w:szCs w:val="20"/>
        </w:rPr>
      </w:pPr>
      <w:r w:rsidRPr="00FF7F8C">
        <w:rPr>
          <w:rFonts w:ascii="Arial" w:hAnsi="Arial" w:cs="Arial"/>
          <w:sz w:val="20"/>
          <w:szCs w:val="20"/>
        </w:rPr>
        <w:t>Evidence should be ‘frozen’ in time – online evidence can change so simply providing links isn’t sufficient.</w:t>
      </w:r>
      <w:r w:rsidR="00496AAF" w:rsidRPr="00FF7F8C">
        <w:rPr>
          <w:rFonts w:ascii="Arial" w:hAnsi="Arial" w:cs="Arial"/>
          <w:sz w:val="20"/>
          <w:szCs w:val="20"/>
        </w:rPr>
        <w:t xml:space="preserve"> Evidence extracted from websites should be provided either as PDF </w:t>
      </w:r>
      <w:r w:rsidR="0095733D">
        <w:rPr>
          <w:rFonts w:ascii="Arial" w:hAnsi="Arial" w:cs="Arial"/>
          <w:sz w:val="20"/>
          <w:szCs w:val="20"/>
        </w:rPr>
        <w:t>or</w:t>
      </w:r>
      <w:r w:rsidR="0095733D" w:rsidRPr="00FF7F8C">
        <w:rPr>
          <w:rFonts w:ascii="Arial" w:hAnsi="Arial" w:cs="Arial"/>
          <w:sz w:val="20"/>
          <w:szCs w:val="20"/>
        </w:rPr>
        <w:t xml:space="preserve"> </w:t>
      </w:r>
      <w:r w:rsidR="00496AAF" w:rsidRPr="00FF7F8C">
        <w:rPr>
          <w:rFonts w:ascii="Arial" w:hAnsi="Arial" w:cs="Arial"/>
          <w:sz w:val="20"/>
          <w:szCs w:val="20"/>
        </w:rPr>
        <w:t>screen-shot files.</w:t>
      </w:r>
    </w:p>
    <w:p w14:paraId="5976F0BD" w14:textId="77777777" w:rsidR="00352AF6" w:rsidRPr="00FF7F8C" w:rsidRDefault="00352AF6" w:rsidP="00D1079F">
      <w:pPr>
        <w:spacing w:after="0" w:line="22" w:lineRule="atLeast"/>
        <w:ind w:left="-851" w:right="-755"/>
        <w:jc w:val="both"/>
        <w:rPr>
          <w:rFonts w:ascii="Arial" w:hAnsi="Arial" w:cs="Arial"/>
          <w:sz w:val="20"/>
          <w:szCs w:val="20"/>
        </w:rPr>
      </w:pPr>
    </w:p>
    <w:p w14:paraId="5976F0BE" w14:textId="77777777" w:rsidR="00352AF6" w:rsidRPr="00FF7F8C" w:rsidRDefault="00352AF6" w:rsidP="00D1079F">
      <w:pPr>
        <w:spacing w:after="0" w:line="22" w:lineRule="atLeast"/>
        <w:ind w:left="-851" w:right="-755"/>
        <w:jc w:val="both"/>
        <w:rPr>
          <w:rFonts w:ascii="Arial" w:hAnsi="Arial" w:cs="Arial"/>
          <w:sz w:val="20"/>
          <w:szCs w:val="20"/>
        </w:rPr>
      </w:pPr>
      <w:r w:rsidRPr="00FF7F8C">
        <w:rPr>
          <w:rFonts w:ascii="Arial" w:hAnsi="Arial" w:cs="Arial"/>
          <w:sz w:val="20"/>
          <w:szCs w:val="20"/>
        </w:rPr>
        <w:t>The timing of submission of evidence is vital to ensure that the Panel or Board can be held within the 20 day timeline. Programme teams should endeavour to have all evidence submitted to the relevant support team directly after the outcome of the preliminary consideration.</w:t>
      </w:r>
    </w:p>
    <w:p w14:paraId="5976F0BF" w14:textId="77777777" w:rsidR="008E644F" w:rsidRPr="00FF7F8C" w:rsidRDefault="008E644F" w:rsidP="00D1079F">
      <w:pPr>
        <w:spacing w:line="22" w:lineRule="atLeast"/>
        <w:ind w:left="-851" w:right="-755"/>
        <w:jc w:val="both"/>
        <w:rPr>
          <w:rFonts w:ascii="Arial" w:hAnsi="Arial" w:cs="Arial"/>
          <w:b/>
          <w:sz w:val="20"/>
          <w:szCs w:val="20"/>
        </w:rPr>
      </w:pPr>
    </w:p>
    <w:p w14:paraId="5976F0C0" w14:textId="76F8A31B" w:rsidR="008E644F" w:rsidRPr="00FF7F8C" w:rsidRDefault="008E644F" w:rsidP="00D1079F">
      <w:pPr>
        <w:spacing w:after="0" w:line="22" w:lineRule="atLeast"/>
        <w:ind w:left="-851" w:right="-755"/>
        <w:jc w:val="both"/>
        <w:rPr>
          <w:rFonts w:ascii="Arial" w:hAnsi="Arial" w:cs="Arial"/>
          <w:b/>
          <w:sz w:val="20"/>
          <w:szCs w:val="20"/>
        </w:rPr>
      </w:pPr>
      <w:r w:rsidRPr="00FF7F8C">
        <w:rPr>
          <w:rFonts w:ascii="Arial" w:hAnsi="Arial" w:cs="Arial"/>
          <w:b/>
          <w:sz w:val="20"/>
          <w:szCs w:val="20"/>
        </w:rPr>
        <w:t>Evidence for the Preliminary Consideration stage</w:t>
      </w:r>
    </w:p>
    <w:p w14:paraId="5976F0C1" w14:textId="7E2FA271" w:rsidR="008E644F" w:rsidRPr="00FF7F8C" w:rsidRDefault="008E644F" w:rsidP="00D1079F">
      <w:pPr>
        <w:spacing w:after="0" w:line="22" w:lineRule="atLeast"/>
        <w:ind w:left="-851" w:right="-755"/>
        <w:jc w:val="both"/>
        <w:rPr>
          <w:rFonts w:ascii="Arial" w:hAnsi="Arial" w:cs="Arial"/>
          <w:sz w:val="20"/>
          <w:szCs w:val="20"/>
        </w:rPr>
      </w:pPr>
      <w:r w:rsidRPr="00FF7F8C">
        <w:rPr>
          <w:rFonts w:ascii="Arial" w:hAnsi="Arial" w:cs="Arial"/>
          <w:sz w:val="20"/>
          <w:szCs w:val="20"/>
        </w:rPr>
        <w:t xml:space="preserve">Evidence considered </w:t>
      </w:r>
      <w:r w:rsidR="009711D3">
        <w:rPr>
          <w:rFonts w:ascii="Arial" w:hAnsi="Arial" w:cs="Arial"/>
          <w:sz w:val="20"/>
          <w:szCs w:val="20"/>
        </w:rPr>
        <w:t>at the preliminary consideration stage</w:t>
      </w:r>
      <w:r w:rsidRPr="00FF7F8C">
        <w:rPr>
          <w:rFonts w:ascii="Arial" w:hAnsi="Arial" w:cs="Arial"/>
          <w:sz w:val="20"/>
          <w:szCs w:val="20"/>
        </w:rPr>
        <w:t xml:space="preserve"> should be as comprehensive as possible. A suspected academic offence may have come to light through a variety of means including plagiarism detection software. Where this is the case, additional supporting evidence should be sourced to support this. </w:t>
      </w:r>
    </w:p>
    <w:p w14:paraId="5976F0C2" w14:textId="77777777" w:rsidR="008E644F" w:rsidRPr="00FF7F8C" w:rsidRDefault="008E644F" w:rsidP="00D1079F">
      <w:pPr>
        <w:spacing w:after="0" w:line="22" w:lineRule="atLeast"/>
        <w:ind w:left="-851" w:right="-755"/>
        <w:jc w:val="both"/>
        <w:rPr>
          <w:rFonts w:ascii="Arial" w:hAnsi="Arial" w:cs="Arial"/>
          <w:sz w:val="20"/>
          <w:szCs w:val="20"/>
        </w:rPr>
      </w:pPr>
    </w:p>
    <w:p w14:paraId="5976F0C3" w14:textId="77777777" w:rsidR="008E644F" w:rsidRPr="00FF7F8C" w:rsidRDefault="008E644F" w:rsidP="00D1079F">
      <w:pPr>
        <w:spacing w:after="0" w:line="22" w:lineRule="atLeast"/>
        <w:ind w:left="-851" w:right="-755"/>
        <w:jc w:val="both"/>
        <w:rPr>
          <w:rFonts w:ascii="Arial" w:hAnsi="Arial" w:cs="Arial"/>
          <w:sz w:val="20"/>
          <w:szCs w:val="20"/>
        </w:rPr>
      </w:pPr>
      <w:r w:rsidRPr="00FF7F8C">
        <w:rPr>
          <w:rFonts w:ascii="Arial" w:hAnsi="Arial" w:cs="Arial"/>
          <w:sz w:val="20"/>
          <w:szCs w:val="20"/>
          <w:u w:val="single"/>
        </w:rPr>
        <w:t>Evidence should never be solely based on plagiarism detection software.</w:t>
      </w:r>
      <w:r w:rsidRPr="00FF7F8C">
        <w:rPr>
          <w:rFonts w:ascii="Arial" w:hAnsi="Arial" w:cs="Arial"/>
          <w:sz w:val="20"/>
          <w:szCs w:val="20"/>
        </w:rPr>
        <w:t xml:space="preserve"> </w:t>
      </w:r>
    </w:p>
    <w:p w14:paraId="5976F0C4" w14:textId="77777777" w:rsidR="008E644F" w:rsidRPr="00FF7F8C" w:rsidRDefault="008E644F" w:rsidP="00D1079F">
      <w:pPr>
        <w:spacing w:after="0" w:line="22" w:lineRule="atLeast"/>
        <w:ind w:left="-851" w:right="-755"/>
        <w:jc w:val="both"/>
        <w:rPr>
          <w:rFonts w:ascii="Arial" w:hAnsi="Arial" w:cs="Arial"/>
          <w:sz w:val="20"/>
          <w:szCs w:val="20"/>
        </w:rPr>
      </w:pPr>
    </w:p>
    <w:p w14:paraId="5976F0C5" w14:textId="34B7FF8C" w:rsidR="008E644F" w:rsidRPr="00FF7F8C" w:rsidRDefault="008E644F" w:rsidP="00D1079F">
      <w:pPr>
        <w:spacing w:after="0" w:line="22" w:lineRule="atLeast"/>
        <w:ind w:left="-851" w:right="-755"/>
        <w:jc w:val="both"/>
        <w:rPr>
          <w:rFonts w:ascii="Arial" w:hAnsi="Arial" w:cs="Arial"/>
          <w:sz w:val="20"/>
          <w:szCs w:val="20"/>
        </w:rPr>
      </w:pPr>
      <w:r w:rsidRPr="00FF7F8C">
        <w:rPr>
          <w:rFonts w:ascii="Arial" w:hAnsi="Arial" w:cs="Arial"/>
          <w:sz w:val="20"/>
          <w:szCs w:val="20"/>
        </w:rPr>
        <w:t xml:space="preserve">Where it is suspected that plagiarism may have been committed it may not always be possible to find the source document. It is important not to rely on the headline score from Turnitin for example; a small match of 3% could be significant plagiarism, a large match of 30% could be fine in some circumstances. Learning Technologists can support </w:t>
      </w:r>
      <w:r w:rsidR="001F47B0">
        <w:rPr>
          <w:rFonts w:ascii="Arial" w:hAnsi="Arial" w:cs="Arial"/>
          <w:sz w:val="20"/>
          <w:szCs w:val="20"/>
        </w:rPr>
        <w:t xml:space="preserve">Academics with </w:t>
      </w:r>
      <w:r w:rsidRPr="00FF7F8C">
        <w:rPr>
          <w:rFonts w:ascii="Arial" w:hAnsi="Arial" w:cs="Arial"/>
          <w:sz w:val="20"/>
          <w:szCs w:val="20"/>
        </w:rPr>
        <w:t>the interpretation of Turnitin reports as required.</w:t>
      </w:r>
    </w:p>
    <w:p w14:paraId="5976F0C6" w14:textId="77777777" w:rsidR="008E644F" w:rsidRPr="00FF7F8C" w:rsidRDefault="008E644F" w:rsidP="00D1079F">
      <w:pPr>
        <w:spacing w:after="0" w:line="22" w:lineRule="atLeast"/>
        <w:ind w:left="-851" w:right="-755"/>
        <w:jc w:val="both"/>
        <w:rPr>
          <w:rFonts w:ascii="Arial" w:hAnsi="Arial" w:cs="Arial"/>
          <w:sz w:val="20"/>
          <w:szCs w:val="20"/>
        </w:rPr>
      </w:pPr>
    </w:p>
    <w:p w14:paraId="268BA0B6" w14:textId="767C2A56" w:rsidR="005445CE" w:rsidRPr="005445CE" w:rsidRDefault="008E644F" w:rsidP="00D1079F">
      <w:pPr>
        <w:spacing w:after="0" w:line="22" w:lineRule="atLeast"/>
        <w:ind w:left="-851" w:right="-755"/>
        <w:jc w:val="both"/>
        <w:rPr>
          <w:rFonts w:ascii="Arial" w:hAnsi="Arial" w:cs="Arial"/>
          <w:sz w:val="20"/>
          <w:szCs w:val="20"/>
        </w:rPr>
      </w:pPr>
      <w:r w:rsidRPr="00FF7F8C">
        <w:rPr>
          <w:rFonts w:ascii="Arial" w:hAnsi="Arial" w:cs="Arial"/>
          <w:sz w:val="20"/>
          <w:szCs w:val="20"/>
        </w:rPr>
        <w:t>Therefore evidence may include (but is not limited to) the following documentation:</w:t>
      </w:r>
    </w:p>
    <w:p w14:paraId="2CE02482" w14:textId="6663CC3E" w:rsidR="001F47B0" w:rsidRPr="005445CE" w:rsidRDefault="001F47B0" w:rsidP="00D1079F">
      <w:pPr>
        <w:pStyle w:val="ListParagraph"/>
        <w:numPr>
          <w:ilvl w:val="0"/>
          <w:numId w:val="2"/>
        </w:numPr>
        <w:spacing w:after="0" w:line="22" w:lineRule="atLeast"/>
        <w:ind w:left="-142" w:right="-755"/>
        <w:jc w:val="both"/>
        <w:rPr>
          <w:rFonts w:ascii="Arial" w:hAnsi="Arial" w:cs="Arial"/>
          <w:sz w:val="20"/>
          <w:szCs w:val="20"/>
        </w:rPr>
      </w:pPr>
      <w:r w:rsidRPr="005445CE">
        <w:rPr>
          <w:rFonts w:ascii="Arial" w:hAnsi="Arial" w:cs="Arial"/>
          <w:sz w:val="20"/>
          <w:szCs w:val="20"/>
        </w:rPr>
        <w:t xml:space="preserve">Notes from a preliminary discussion with a student – see below </w:t>
      </w:r>
    </w:p>
    <w:p w14:paraId="5976F0C8" w14:textId="77777777" w:rsidR="008E644F" w:rsidRPr="00FF7F8C" w:rsidRDefault="008E644F" w:rsidP="00D1079F">
      <w:pPr>
        <w:pStyle w:val="ListParagraph"/>
        <w:numPr>
          <w:ilvl w:val="0"/>
          <w:numId w:val="2"/>
        </w:numPr>
        <w:spacing w:after="0" w:line="22" w:lineRule="atLeast"/>
        <w:ind w:left="-142" w:right="-755"/>
        <w:jc w:val="both"/>
        <w:rPr>
          <w:rFonts w:ascii="Arial" w:hAnsi="Arial" w:cs="Arial"/>
          <w:sz w:val="20"/>
          <w:szCs w:val="20"/>
        </w:rPr>
      </w:pPr>
      <w:r w:rsidRPr="00FF7F8C">
        <w:rPr>
          <w:rFonts w:ascii="Arial" w:hAnsi="Arial" w:cs="Arial"/>
          <w:sz w:val="20"/>
          <w:szCs w:val="20"/>
        </w:rPr>
        <w:t>A plagiarism detection software report (this needs to be scrutinised and not taken at face value);</w:t>
      </w:r>
    </w:p>
    <w:p w14:paraId="5976F0C9" w14:textId="77777777" w:rsidR="008E644F" w:rsidRPr="00FF7F8C" w:rsidRDefault="008E644F" w:rsidP="00D1079F">
      <w:pPr>
        <w:pStyle w:val="ListParagraph"/>
        <w:numPr>
          <w:ilvl w:val="0"/>
          <w:numId w:val="2"/>
        </w:numPr>
        <w:spacing w:after="0" w:line="22" w:lineRule="atLeast"/>
        <w:ind w:left="-142" w:right="-755"/>
        <w:jc w:val="both"/>
        <w:rPr>
          <w:rFonts w:ascii="Arial" w:hAnsi="Arial" w:cs="Arial"/>
          <w:sz w:val="20"/>
          <w:szCs w:val="20"/>
        </w:rPr>
      </w:pPr>
      <w:r w:rsidRPr="00FF7F8C">
        <w:rPr>
          <w:rFonts w:ascii="Arial" w:hAnsi="Arial" w:cs="Arial"/>
          <w:sz w:val="20"/>
          <w:szCs w:val="20"/>
        </w:rPr>
        <w:t xml:space="preserve">Any documentation that supports the </w:t>
      </w:r>
      <w:r w:rsidR="00EE49F2" w:rsidRPr="00EE49F2">
        <w:rPr>
          <w:rFonts w:ascii="Arial" w:hAnsi="Arial" w:cs="Arial"/>
          <w:sz w:val="20"/>
          <w:szCs w:val="20"/>
        </w:rPr>
        <w:t>plagiarism detection software report</w:t>
      </w:r>
      <w:r w:rsidRPr="00FF7F8C">
        <w:rPr>
          <w:rFonts w:ascii="Arial" w:hAnsi="Arial" w:cs="Arial"/>
          <w:sz w:val="20"/>
          <w:szCs w:val="20"/>
        </w:rPr>
        <w:t xml:space="preserve"> (e.g. details/ extracts of the source materials)</w:t>
      </w:r>
      <w:r w:rsidR="0095733D">
        <w:rPr>
          <w:rFonts w:ascii="Arial" w:hAnsi="Arial" w:cs="Arial"/>
          <w:sz w:val="20"/>
          <w:szCs w:val="20"/>
        </w:rPr>
        <w:t>;</w:t>
      </w:r>
    </w:p>
    <w:p w14:paraId="5976F0CA" w14:textId="77777777" w:rsidR="008E644F" w:rsidRPr="00FF7F8C" w:rsidRDefault="008E644F" w:rsidP="00D1079F">
      <w:pPr>
        <w:pStyle w:val="ListParagraph"/>
        <w:numPr>
          <w:ilvl w:val="0"/>
          <w:numId w:val="2"/>
        </w:numPr>
        <w:spacing w:after="0" w:line="22" w:lineRule="atLeast"/>
        <w:ind w:left="-142" w:right="-755"/>
        <w:jc w:val="both"/>
        <w:rPr>
          <w:rFonts w:ascii="Arial" w:hAnsi="Arial" w:cs="Arial"/>
          <w:sz w:val="20"/>
          <w:szCs w:val="20"/>
        </w:rPr>
      </w:pPr>
      <w:r w:rsidRPr="00FF7F8C">
        <w:rPr>
          <w:rFonts w:ascii="Arial" w:hAnsi="Arial" w:cs="Arial"/>
          <w:sz w:val="20"/>
          <w:szCs w:val="20"/>
        </w:rPr>
        <w:t>Excerpts of the student’s work identifying changing writing styles through the work;</w:t>
      </w:r>
    </w:p>
    <w:p w14:paraId="5976F0CB" w14:textId="77777777" w:rsidR="008E644F" w:rsidRPr="00FF7F8C" w:rsidRDefault="008E644F" w:rsidP="00D1079F">
      <w:pPr>
        <w:pStyle w:val="ListParagraph"/>
        <w:numPr>
          <w:ilvl w:val="0"/>
          <w:numId w:val="2"/>
        </w:numPr>
        <w:spacing w:after="0" w:line="22" w:lineRule="atLeast"/>
        <w:ind w:left="-142" w:right="-755"/>
        <w:jc w:val="both"/>
        <w:rPr>
          <w:rFonts w:ascii="Arial" w:hAnsi="Arial" w:cs="Arial"/>
          <w:sz w:val="20"/>
          <w:szCs w:val="20"/>
        </w:rPr>
      </w:pPr>
      <w:r w:rsidRPr="00FF7F8C">
        <w:rPr>
          <w:rFonts w:ascii="Arial" w:hAnsi="Arial" w:cs="Arial"/>
          <w:sz w:val="20"/>
          <w:szCs w:val="20"/>
        </w:rPr>
        <w:t>Examples of a student’s work where the writing style is different from other work already submitted;</w:t>
      </w:r>
    </w:p>
    <w:p w14:paraId="5976F0CC" w14:textId="77777777" w:rsidR="008E644F" w:rsidRPr="00FF7F8C" w:rsidRDefault="008E644F" w:rsidP="00D1079F">
      <w:pPr>
        <w:pStyle w:val="ListParagraph"/>
        <w:numPr>
          <w:ilvl w:val="0"/>
          <w:numId w:val="2"/>
        </w:numPr>
        <w:spacing w:after="0" w:line="22" w:lineRule="atLeast"/>
        <w:ind w:left="-142" w:right="-755"/>
        <w:jc w:val="both"/>
        <w:rPr>
          <w:rFonts w:ascii="Arial" w:hAnsi="Arial" w:cs="Arial"/>
          <w:sz w:val="20"/>
          <w:szCs w:val="20"/>
        </w:rPr>
      </w:pPr>
      <w:r w:rsidRPr="00FF7F8C">
        <w:rPr>
          <w:rFonts w:ascii="Arial" w:hAnsi="Arial" w:cs="Arial"/>
          <w:sz w:val="20"/>
          <w:szCs w:val="20"/>
        </w:rPr>
        <w:t>A similar assignment submitted by another student</w:t>
      </w:r>
    </w:p>
    <w:p w14:paraId="5976F0CD" w14:textId="77777777" w:rsidR="008E644F" w:rsidRPr="00FF7F8C" w:rsidRDefault="008E644F" w:rsidP="00D1079F">
      <w:pPr>
        <w:pStyle w:val="ListParagraph"/>
        <w:numPr>
          <w:ilvl w:val="0"/>
          <w:numId w:val="2"/>
        </w:numPr>
        <w:spacing w:after="0" w:line="22" w:lineRule="atLeast"/>
        <w:ind w:left="-142" w:right="-755"/>
        <w:jc w:val="both"/>
        <w:rPr>
          <w:rFonts w:ascii="Arial" w:hAnsi="Arial" w:cs="Arial"/>
          <w:sz w:val="20"/>
          <w:szCs w:val="20"/>
        </w:rPr>
      </w:pPr>
      <w:r w:rsidRPr="00FF7F8C">
        <w:rPr>
          <w:rFonts w:ascii="Arial" w:hAnsi="Arial" w:cs="Arial"/>
          <w:sz w:val="20"/>
          <w:szCs w:val="20"/>
        </w:rPr>
        <w:t xml:space="preserve">Unit Guide </w:t>
      </w:r>
    </w:p>
    <w:p w14:paraId="5976F0CE" w14:textId="77777777" w:rsidR="008E644F" w:rsidRPr="00FF7F8C" w:rsidRDefault="008E644F" w:rsidP="00D1079F">
      <w:pPr>
        <w:pStyle w:val="ListParagraph"/>
        <w:numPr>
          <w:ilvl w:val="0"/>
          <w:numId w:val="2"/>
        </w:numPr>
        <w:spacing w:after="0" w:line="22" w:lineRule="atLeast"/>
        <w:ind w:left="-142" w:right="-755"/>
        <w:jc w:val="both"/>
        <w:rPr>
          <w:rFonts w:ascii="Arial" w:hAnsi="Arial" w:cs="Arial"/>
          <w:sz w:val="20"/>
          <w:szCs w:val="20"/>
        </w:rPr>
      </w:pPr>
      <w:r w:rsidRPr="00FF7F8C">
        <w:rPr>
          <w:rFonts w:ascii="Arial" w:hAnsi="Arial" w:cs="Arial"/>
          <w:sz w:val="20"/>
          <w:szCs w:val="20"/>
        </w:rPr>
        <w:t>Assessment Brief</w:t>
      </w:r>
    </w:p>
    <w:p w14:paraId="5976F0CF" w14:textId="77777777" w:rsidR="008E644F" w:rsidRPr="00FF7F8C" w:rsidRDefault="008E644F" w:rsidP="00D1079F">
      <w:pPr>
        <w:pStyle w:val="ListParagraph"/>
        <w:numPr>
          <w:ilvl w:val="0"/>
          <w:numId w:val="2"/>
        </w:numPr>
        <w:spacing w:after="0" w:line="22" w:lineRule="atLeast"/>
        <w:ind w:left="-142" w:right="-755"/>
        <w:jc w:val="both"/>
        <w:rPr>
          <w:rFonts w:ascii="Arial" w:hAnsi="Arial" w:cs="Arial"/>
          <w:sz w:val="20"/>
          <w:szCs w:val="20"/>
        </w:rPr>
      </w:pPr>
      <w:r w:rsidRPr="00FF7F8C">
        <w:rPr>
          <w:rFonts w:ascii="Arial" w:hAnsi="Arial" w:cs="Arial"/>
          <w:sz w:val="20"/>
          <w:szCs w:val="20"/>
        </w:rPr>
        <w:t>Information relating to the student profile/ previous Academic Offences</w:t>
      </w:r>
    </w:p>
    <w:p w14:paraId="5976F0D0" w14:textId="77777777" w:rsidR="00BF5090" w:rsidRPr="00FF7F8C" w:rsidRDefault="00BF5090" w:rsidP="00D1079F">
      <w:pPr>
        <w:pStyle w:val="ListParagraph"/>
        <w:spacing w:after="0" w:line="22" w:lineRule="atLeast"/>
        <w:ind w:left="-851" w:right="-755"/>
        <w:jc w:val="both"/>
        <w:rPr>
          <w:rFonts w:ascii="Arial" w:hAnsi="Arial" w:cs="Arial"/>
          <w:sz w:val="20"/>
          <w:szCs w:val="20"/>
        </w:rPr>
      </w:pPr>
    </w:p>
    <w:p w14:paraId="5976F0D2" w14:textId="77777777" w:rsidR="00BF5090" w:rsidRPr="00FF7F8C" w:rsidRDefault="00BF5090" w:rsidP="00D1079F">
      <w:pPr>
        <w:spacing w:after="0" w:line="22" w:lineRule="atLeast"/>
        <w:ind w:left="-851" w:right="-755"/>
        <w:jc w:val="both"/>
        <w:rPr>
          <w:rFonts w:ascii="Arial" w:hAnsi="Arial" w:cs="Arial"/>
          <w:sz w:val="20"/>
          <w:szCs w:val="20"/>
        </w:rPr>
      </w:pPr>
    </w:p>
    <w:p w14:paraId="1AA55566" w14:textId="77777777" w:rsidR="002A1287" w:rsidRPr="005445CE" w:rsidRDefault="002A1287" w:rsidP="002A1287">
      <w:pPr>
        <w:pStyle w:val="Default"/>
        <w:spacing w:line="22" w:lineRule="atLeast"/>
        <w:ind w:left="-851" w:right="-612"/>
        <w:jc w:val="both"/>
        <w:rPr>
          <w:b/>
          <w:bCs/>
          <w:sz w:val="20"/>
          <w:szCs w:val="20"/>
        </w:rPr>
      </w:pPr>
      <w:r w:rsidRPr="00FF7F8C">
        <w:rPr>
          <w:sz w:val="20"/>
          <w:szCs w:val="20"/>
        </w:rPr>
        <w:t xml:space="preserve">The student does not </w:t>
      </w:r>
      <w:r>
        <w:rPr>
          <w:sz w:val="20"/>
          <w:szCs w:val="20"/>
        </w:rPr>
        <w:t>necessarily participate in the preliminary consideration as standard. However, t</w:t>
      </w:r>
      <w:r w:rsidRPr="00FF7F8C">
        <w:rPr>
          <w:sz w:val="20"/>
          <w:szCs w:val="20"/>
        </w:rPr>
        <w:t xml:space="preserve">here may be exceptional instances where further evidence is required in order to enable the decision as to whether to progress under </w:t>
      </w:r>
      <w:r w:rsidRPr="00FF7F8C">
        <w:rPr>
          <w:i/>
          <w:sz w:val="20"/>
          <w:szCs w:val="20"/>
        </w:rPr>
        <w:t>6H</w:t>
      </w:r>
      <w:r>
        <w:rPr>
          <w:i/>
          <w:sz w:val="20"/>
          <w:szCs w:val="20"/>
        </w:rPr>
        <w:t xml:space="preserve"> </w:t>
      </w:r>
      <w:r w:rsidRPr="00FF7F8C">
        <w:rPr>
          <w:i/>
          <w:sz w:val="20"/>
          <w:szCs w:val="20"/>
        </w:rPr>
        <w:t xml:space="preserve">- </w:t>
      </w:r>
      <w:r>
        <w:rPr>
          <w:i/>
          <w:sz w:val="20"/>
          <w:szCs w:val="20"/>
        </w:rPr>
        <w:t>A</w:t>
      </w:r>
      <w:r w:rsidRPr="00FF7F8C">
        <w:rPr>
          <w:i/>
          <w:sz w:val="20"/>
          <w:szCs w:val="20"/>
        </w:rPr>
        <w:t>cademic Offences</w:t>
      </w:r>
      <w:r>
        <w:rPr>
          <w:i/>
          <w:sz w:val="20"/>
          <w:szCs w:val="20"/>
        </w:rPr>
        <w:t>:</w:t>
      </w:r>
      <w:r w:rsidRPr="00FF7F8C">
        <w:rPr>
          <w:i/>
          <w:sz w:val="20"/>
          <w:szCs w:val="20"/>
        </w:rPr>
        <w:t xml:space="preserve"> Policy and Procedure for Taught Awards</w:t>
      </w:r>
      <w:r w:rsidRPr="00FF7F8C">
        <w:rPr>
          <w:sz w:val="20"/>
          <w:szCs w:val="20"/>
        </w:rPr>
        <w:t xml:space="preserve">. </w:t>
      </w:r>
      <w:r>
        <w:rPr>
          <w:sz w:val="20"/>
          <w:szCs w:val="20"/>
        </w:rPr>
        <w:t xml:space="preserve">For example if contract cheating is suspected. </w:t>
      </w:r>
      <w:r w:rsidRPr="00FF7F8C">
        <w:rPr>
          <w:sz w:val="20"/>
          <w:szCs w:val="20"/>
        </w:rPr>
        <w:t xml:space="preserve">In such exceptional instances, a student may be called upon and invited to attend a meeting to inform a preliminary investigation. </w:t>
      </w:r>
      <w:r>
        <w:rPr>
          <w:sz w:val="20"/>
          <w:szCs w:val="20"/>
        </w:rPr>
        <w:t>A minimum of two members of staff should be present and t</w:t>
      </w:r>
      <w:r w:rsidRPr="00FF7F8C">
        <w:rPr>
          <w:sz w:val="20"/>
          <w:szCs w:val="20"/>
        </w:rPr>
        <w:t xml:space="preserve">he discussion should be carefully recorded and the student must </w:t>
      </w:r>
      <w:r>
        <w:rPr>
          <w:sz w:val="20"/>
          <w:szCs w:val="20"/>
        </w:rPr>
        <w:t xml:space="preserve">in all cases </w:t>
      </w:r>
      <w:r w:rsidRPr="00FF7F8C">
        <w:rPr>
          <w:sz w:val="20"/>
          <w:szCs w:val="20"/>
        </w:rPr>
        <w:t xml:space="preserve">be briefed in advance that concerns have been raised regarding a particular piece of work and that this may lead to invoking of this Policy and Procedure. </w:t>
      </w:r>
      <w:r w:rsidRPr="00AB3909">
        <w:rPr>
          <w:sz w:val="20"/>
          <w:szCs w:val="20"/>
        </w:rPr>
        <w:t xml:space="preserve">Students may be accompanied by a friend or representative (not acting in a legal capacity nor who is an employee of the University). Please refer to </w:t>
      </w:r>
      <w:r w:rsidRPr="00AB3909">
        <w:rPr>
          <w:bCs/>
          <w:i/>
          <w:iCs/>
          <w:sz w:val="20"/>
          <w:szCs w:val="20"/>
        </w:rPr>
        <w:t>11L – Third Party Involvement: Procedure</w:t>
      </w:r>
      <w:r w:rsidRPr="00AB3909">
        <w:rPr>
          <w:bCs/>
          <w:iCs/>
          <w:sz w:val="20"/>
          <w:szCs w:val="20"/>
        </w:rPr>
        <w:t xml:space="preserve"> for further details. </w:t>
      </w:r>
      <w:r w:rsidRPr="00FF7F8C">
        <w:rPr>
          <w:sz w:val="20"/>
          <w:szCs w:val="20"/>
        </w:rPr>
        <w:t xml:space="preserve">The formal notes from this meeting will then </w:t>
      </w:r>
      <w:r>
        <w:rPr>
          <w:sz w:val="20"/>
          <w:szCs w:val="20"/>
        </w:rPr>
        <w:t>form part of the evidence considered in arriving at the preliminary consideration outcome</w:t>
      </w:r>
      <w:r w:rsidRPr="00FF7F8C">
        <w:rPr>
          <w:sz w:val="20"/>
          <w:szCs w:val="20"/>
        </w:rPr>
        <w:t xml:space="preserve">. </w:t>
      </w:r>
      <w:r>
        <w:rPr>
          <w:sz w:val="20"/>
          <w:szCs w:val="20"/>
        </w:rPr>
        <w:t xml:space="preserve">The full process is outlined in </w:t>
      </w:r>
      <w:r w:rsidRPr="00FF7F8C">
        <w:rPr>
          <w:i/>
          <w:sz w:val="20"/>
          <w:szCs w:val="20"/>
        </w:rPr>
        <w:t>6H</w:t>
      </w:r>
      <w:r>
        <w:rPr>
          <w:i/>
          <w:sz w:val="20"/>
          <w:szCs w:val="20"/>
        </w:rPr>
        <w:t xml:space="preserve"> </w:t>
      </w:r>
      <w:r w:rsidRPr="00FF7F8C">
        <w:rPr>
          <w:i/>
          <w:sz w:val="20"/>
          <w:szCs w:val="20"/>
        </w:rPr>
        <w:t xml:space="preserve">- </w:t>
      </w:r>
      <w:r>
        <w:rPr>
          <w:i/>
          <w:sz w:val="20"/>
          <w:szCs w:val="20"/>
        </w:rPr>
        <w:t>A</w:t>
      </w:r>
      <w:r w:rsidRPr="00FF7F8C">
        <w:rPr>
          <w:i/>
          <w:sz w:val="20"/>
          <w:szCs w:val="20"/>
        </w:rPr>
        <w:t>cademic Offences</w:t>
      </w:r>
      <w:r>
        <w:rPr>
          <w:i/>
          <w:sz w:val="20"/>
          <w:szCs w:val="20"/>
        </w:rPr>
        <w:t>:</w:t>
      </w:r>
      <w:r w:rsidRPr="00FF7F8C">
        <w:rPr>
          <w:i/>
          <w:sz w:val="20"/>
          <w:szCs w:val="20"/>
        </w:rPr>
        <w:t xml:space="preserve"> Policy and Procedure for Taught Awards</w:t>
      </w:r>
    </w:p>
    <w:p w14:paraId="53C9D7C3" w14:textId="77777777" w:rsidR="002A1287" w:rsidRPr="00FF7F8C" w:rsidRDefault="002A1287" w:rsidP="002A1287">
      <w:pPr>
        <w:spacing w:after="0" w:line="22" w:lineRule="atLeast"/>
        <w:ind w:left="-851" w:right="-755"/>
        <w:jc w:val="both"/>
        <w:rPr>
          <w:rFonts w:ascii="Arial" w:hAnsi="Arial" w:cs="Arial"/>
          <w:sz w:val="20"/>
          <w:szCs w:val="20"/>
        </w:rPr>
      </w:pPr>
    </w:p>
    <w:p w14:paraId="0167260A" w14:textId="77777777" w:rsidR="002A1287" w:rsidRPr="00FF7F8C" w:rsidRDefault="002A1287" w:rsidP="002A1287">
      <w:pPr>
        <w:spacing w:after="0" w:line="22" w:lineRule="atLeast"/>
        <w:ind w:left="-851" w:right="-755"/>
        <w:jc w:val="both"/>
        <w:rPr>
          <w:rFonts w:ascii="Arial" w:hAnsi="Arial" w:cs="Arial"/>
          <w:sz w:val="20"/>
          <w:szCs w:val="20"/>
        </w:rPr>
      </w:pPr>
      <w:r>
        <w:rPr>
          <w:rFonts w:ascii="Arial" w:hAnsi="Arial" w:cs="Arial"/>
          <w:sz w:val="20"/>
          <w:szCs w:val="20"/>
        </w:rPr>
        <w:t>The academic undertaking the preliminary consideration</w:t>
      </w:r>
      <w:r w:rsidRPr="00FF7F8C">
        <w:rPr>
          <w:rFonts w:ascii="Arial" w:hAnsi="Arial" w:cs="Arial"/>
          <w:sz w:val="20"/>
          <w:szCs w:val="20"/>
        </w:rPr>
        <w:t xml:space="preserve"> may suggest that additional evidence is collated prior to the case being sent to either </w:t>
      </w:r>
      <w:r>
        <w:rPr>
          <w:rFonts w:ascii="Arial" w:hAnsi="Arial" w:cs="Arial"/>
          <w:sz w:val="20"/>
          <w:szCs w:val="20"/>
        </w:rPr>
        <w:t xml:space="preserve">the Faculty investigation, </w:t>
      </w:r>
      <w:r w:rsidRPr="00FF7F8C">
        <w:rPr>
          <w:rFonts w:ascii="Arial" w:hAnsi="Arial" w:cs="Arial"/>
          <w:sz w:val="20"/>
          <w:szCs w:val="20"/>
        </w:rPr>
        <w:t>Faculty Academic Offence Panel or University Academic Offence Board.</w:t>
      </w:r>
    </w:p>
    <w:p w14:paraId="5976F0D4" w14:textId="77777777" w:rsidR="008E644F" w:rsidRPr="00FF7F8C" w:rsidRDefault="008E644F" w:rsidP="00D1079F">
      <w:pPr>
        <w:spacing w:after="0" w:line="22" w:lineRule="atLeast"/>
        <w:ind w:left="-851" w:right="-755"/>
        <w:jc w:val="both"/>
        <w:rPr>
          <w:rFonts w:ascii="Arial" w:hAnsi="Arial" w:cs="Arial"/>
          <w:sz w:val="20"/>
          <w:szCs w:val="20"/>
        </w:rPr>
      </w:pPr>
    </w:p>
    <w:p w14:paraId="5976F0D5" w14:textId="77777777" w:rsidR="00BF5090" w:rsidRPr="00FF7F8C" w:rsidRDefault="00BF5090" w:rsidP="00D1079F">
      <w:pPr>
        <w:spacing w:after="0" w:line="22" w:lineRule="atLeast"/>
        <w:ind w:left="-851" w:right="-755"/>
        <w:jc w:val="both"/>
        <w:rPr>
          <w:rFonts w:ascii="Arial" w:hAnsi="Arial" w:cs="Arial"/>
          <w:b/>
          <w:sz w:val="20"/>
          <w:szCs w:val="20"/>
        </w:rPr>
      </w:pPr>
    </w:p>
    <w:p w14:paraId="5976F0D6" w14:textId="003832A8" w:rsidR="008E644F" w:rsidRPr="00FF7F8C" w:rsidRDefault="00BF5090" w:rsidP="00D1079F">
      <w:pPr>
        <w:spacing w:after="0" w:line="22" w:lineRule="atLeast"/>
        <w:ind w:left="-851" w:right="-755"/>
        <w:jc w:val="both"/>
        <w:rPr>
          <w:rFonts w:ascii="Arial" w:hAnsi="Arial" w:cs="Arial"/>
          <w:b/>
          <w:sz w:val="20"/>
          <w:szCs w:val="20"/>
        </w:rPr>
      </w:pPr>
      <w:r w:rsidRPr="00FF7F8C">
        <w:rPr>
          <w:rFonts w:ascii="Arial" w:hAnsi="Arial" w:cs="Arial"/>
          <w:b/>
          <w:sz w:val="20"/>
          <w:szCs w:val="20"/>
        </w:rPr>
        <w:t xml:space="preserve">Evidence for the </w:t>
      </w:r>
      <w:r w:rsidR="00C806CC">
        <w:rPr>
          <w:rFonts w:ascii="Arial" w:hAnsi="Arial" w:cs="Arial"/>
          <w:b/>
          <w:sz w:val="20"/>
          <w:szCs w:val="20"/>
        </w:rPr>
        <w:t>Faculty investigation</w:t>
      </w:r>
      <w:r w:rsidR="00E07E79">
        <w:rPr>
          <w:rFonts w:ascii="Arial" w:hAnsi="Arial" w:cs="Arial"/>
          <w:b/>
          <w:sz w:val="20"/>
          <w:szCs w:val="20"/>
        </w:rPr>
        <w:t xml:space="preserve"> / </w:t>
      </w:r>
      <w:r w:rsidR="008E644F" w:rsidRPr="00FF7F8C">
        <w:rPr>
          <w:rFonts w:ascii="Arial" w:hAnsi="Arial" w:cs="Arial"/>
          <w:b/>
          <w:sz w:val="20"/>
          <w:szCs w:val="20"/>
        </w:rPr>
        <w:t>Faculty Academic Offence Panel</w:t>
      </w:r>
      <w:r w:rsidR="0095733D">
        <w:rPr>
          <w:rFonts w:ascii="Arial" w:hAnsi="Arial" w:cs="Arial"/>
          <w:b/>
          <w:sz w:val="20"/>
          <w:szCs w:val="20"/>
        </w:rPr>
        <w:t xml:space="preserve"> </w:t>
      </w:r>
      <w:r w:rsidR="008E644F" w:rsidRPr="00FF7F8C">
        <w:rPr>
          <w:rFonts w:ascii="Arial" w:hAnsi="Arial" w:cs="Arial"/>
          <w:b/>
          <w:sz w:val="20"/>
          <w:szCs w:val="20"/>
        </w:rPr>
        <w:t>/ University Acad</w:t>
      </w:r>
      <w:r w:rsidRPr="00FF7F8C">
        <w:rPr>
          <w:rFonts w:ascii="Arial" w:hAnsi="Arial" w:cs="Arial"/>
          <w:b/>
          <w:sz w:val="20"/>
          <w:szCs w:val="20"/>
        </w:rPr>
        <w:t>emic Offence Board</w:t>
      </w:r>
    </w:p>
    <w:p w14:paraId="5976F0D7" w14:textId="0D06BC18" w:rsidR="00352AF6" w:rsidRPr="00FF7F8C" w:rsidRDefault="00352AF6" w:rsidP="00D1079F">
      <w:pPr>
        <w:spacing w:after="0" w:line="22" w:lineRule="atLeast"/>
        <w:ind w:left="-851" w:right="-755"/>
        <w:jc w:val="both"/>
        <w:rPr>
          <w:rFonts w:ascii="Arial" w:hAnsi="Arial" w:cs="Arial"/>
          <w:sz w:val="20"/>
          <w:szCs w:val="20"/>
        </w:rPr>
      </w:pPr>
      <w:r w:rsidRPr="00FF7F8C">
        <w:rPr>
          <w:rFonts w:ascii="Arial" w:hAnsi="Arial" w:cs="Arial"/>
          <w:sz w:val="20"/>
          <w:szCs w:val="20"/>
        </w:rPr>
        <w:t xml:space="preserve">All </w:t>
      </w:r>
      <w:r w:rsidR="00C806CC">
        <w:rPr>
          <w:rFonts w:ascii="Arial" w:hAnsi="Arial" w:cs="Arial"/>
          <w:sz w:val="20"/>
          <w:szCs w:val="20"/>
        </w:rPr>
        <w:t>Faculty investigations should return an outcome to students within 20 days of the outcome of the preliminary consideration</w:t>
      </w:r>
      <w:r w:rsidR="00E07E79">
        <w:rPr>
          <w:rFonts w:ascii="Arial" w:hAnsi="Arial" w:cs="Arial"/>
          <w:sz w:val="20"/>
          <w:szCs w:val="20"/>
        </w:rPr>
        <w:t xml:space="preserve">, </w:t>
      </w:r>
      <w:r w:rsidR="00C806CC">
        <w:rPr>
          <w:rFonts w:ascii="Arial" w:hAnsi="Arial" w:cs="Arial"/>
          <w:sz w:val="20"/>
          <w:szCs w:val="20"/>
        </w:rPr>
        <w:t xml:space="preserve">and </w:t>
      </w:r>
      <w:r w:rsidRPr="00FF7F8C">
        <w:rPr>
          <w:rFonts w:ascii="Arial" w:hAnsi="Arial" w:cs="Arial"/>
          <w:sz w:val="20"/>
          <w:szCs w:val="20"/>
        </w:rPr>
        <w:t>Panels and Boards should be convened to take place within 20 working days. Documentation will be circulated at least 5 working days prior to the Panel or Board and it is therefore essential that all documentation is provided by programme teams as soon as the outcome of the preliminary consideration</w:t>
      </w:r>
      <w:r w:rsidR="0095733D">
        <w:rPr>
          <w:rFonts w:ascii="Arial" w:hAnsi="Arial" w:cs="Arial"/>
          <w:sz w:val="20"/>
          <w:szCs w:val="20"/>
        </w:rPr>
        <w:t xml:space="preserve"> is known</w:t>
      </w:r>
      <w:r w:rsidRPr="00FF7F8C">
        <w:rPr>
          <w:rFonts w:ascii="Arial" w:hAnsi="Arial" w:cs="Arial"/>
          <w:sz w:val="20"/>
          <w:szCs w:val="20"/>
        </w:rPr>
        <w:t>. Where the preliminary consideration identifies that additional evidence is required this should be provided</w:t>
      </w:r>
      <w:r w:rsidR="00C806CC">
        <w:rPr>
          <w:rFonts w:ascii="Arial" w:hAnsi="Arial" w:cs="Arial"/>
          <w:sz w:val="20"/>
          <w:szCs w:val="20"/>
        </w:rPr>
        <w:t xml:space="preserve"> to the Chair of a Faculty investigation within ten working days, or within</w:t>
      </w:r>
      <w:r w:rsidRPr="00FF7F8C">
        <w:rPr>
          <w:rFonts w:ascii="Arial" w:hAnsi="Arial" w:cs="Arial"/>
          <w:sz w:val="20"/>
          <w:szCs w:val="20"/>
        </w:rPr>
        <w:t xml:space="preserve"> at least ten working days </w:t>
      </w:r>
      <w:r w:rsidR="00AC3985">
        <w:rPr>
          <w:rFonts w:ascii="Arial" w:hAnsi="Arial" w:cs="Arial"/>
          <w:sz w:val="20"/>
          <w:szCs w:val="20"/>
        </w:rPr>
        <w:t>of</w:t>
      </w:r>
      <w:r w:rsidR="00AC3985" w:rsidRPr="00FF7F8C">
        <w:rPr>
          <w:rFonts w:ascii="Arial" w:hAnsi="Arial" w:cs="Arial"/>
          <w:sz w:val="20"/>
          <w:szCs w:val="20"/>
        </w:rPr>
        <w:t xml:space="preserve"> </w:t>
      </w:r>
      <w:r w:rsidRPr="00FF7F8C">
        <w:rPr>
          <w:rFonts w:ascii="Arial" w:hAnsi="Arial" w:cs="Arial"/>
          <w:sz w:val="20"/>
          <w:szCs w:val="20"/>
        </w:rPr>
        <w:t xml:space="preserve">the date of the Panel or Board. </w:t>
      </w:r>
    </w:p>
    <w:p w14:paraId="5976F0D8" w14:textId="77777777" w:rsidR="00352AF6" w:rsidRPr="00FF7F8C" w:rsidRDefault="00352AF6" w:rsidP="00D1079F">
      <w:pPr>
        <w:spacing w:after="0" w:line="22" w:lineRule="atLeast"/>
        <w:ind w:left="-851" w:right="-755"/>
        <w:jc w:val="both"/>
        <w:rPr>
          <w:rFonts w:ascii="Arial" w:hAnsi="Arial" w:cs="Arial"/>
          <w:b/>
          <w:sz w:val="20"/>
          <w:szCs w:val="20"/>
        </w:rPr>
      </w:pPr>
    </w:p>
    <w:p w14:paraId="5976F0D9" w14:textId="566AA479" w:rsidR="008E644F" w:rsidRPr="00FF7F8C" w:rsidRDefault="008E644F" w:rsidP="00D1079F">
      <w:pPr>
        <w:spacing w:after="0" w:line="22" w:lineRule="atLeast"/>
        <w:ind w:left="-851" w:right="-755"/>
        <w:jc w:val="both"/>
        <w:rPr>
          <w:rFonts w:ascii="Arial" w:hAnsi="Arial" w:cs="Arial"/>
          <w:sz w:val="20"/>
          <w:szCs w:val="20"/>
        </w:rPr>
      </w:pPr>
      <w:r w:rsidRPr="00FF7F8C">
        <w:rPr>
          <w:rFonts w:ascii="Arial" w:hAnsi="Arial" w:cs="Arial"/>
          <w:sz w:val="20"/>
          <w:szCs w:val="20"/>
        </w:rPr>
        <w:t xml:space="preserve">The following evidence should be submitted as standard when requesting consideration of a suspected offence via </w:t>
      </w:r>
      <w:r w:rsidR="00E07E79">
        <w:rPr>
          <w:rFonts w:ascii="Arial" w:hAnsi="Arial" w:cs="Arial"/>
          <w:sz w:val="20"/>
          <w:szCs w:val="20"/>
        </w:rPr>
        <w:t xml:space="preserve">a </w:t>
      </w:r>
      <w:r w:rsidR="00657564">
        <w:rPr>
          <w:rFonts w:ascii="Arial" w:hAnsi="Arial" w:cs="Arial"/>
          <w:sz w:val="20"/>
          <w:szCs w:val="20"/>
        </w:rPr>
        <w:t xml:space="preserve">Faculty investigation, </w:t>
      </w:r>
      <w:r w:rsidRPr="00FF7F8C">
        <w:rPr>
          <w:rFonts w:ascii="Arial" w:hAnsi="Arial" w:cs="Arial"/>
          <w:sz w:val="20"/>
          <w:szCs w:val="20"/>
        </w:rPr>
        <w:t>Faculty Academic Offence Panel or University Academic Offence Board:</w:t>
      </w:r>
    </w:p>
    <w:p w14:paraId="5976F0DA" w14:textId="77777777" w:rsidR="00BF5090" w:rsidRPr="00FF7F8C" w:rsidRDefault="00BF5090" w:rsidP="00D1079F">
      <w:pPr>
        <w:spacing w:after="0" w:line="22" w:lineRule="atLeast"/>
        <w:ind w:left="-851" w:right="-755"/>
        <w:jc w:val="both"/>
        <w:rPr>
          <w:rFonts w:ascii="Arial" w:hAnsi="Arial" w:cs="Arial"/>
          <w:sz w:val="20"/>
          <w:szCs w:val="20"/>
        </w:rPr>
      </w:pPr>
    </w:p>
    <w:p w14:paraId="5976F0DB" w14:textId="77777777" w:rsidR="008E644F" w:rsidRPr="00FF7F8C" w:rsidRDefault="008E644F" w:rsidP="00D1079F">
      <w:pPr>
        <w:pStyle w:val="ListParagraph"/>
        <w:numPr>
          <w:ilvl w:val="0"/>
          <w:numId w:val="3"/>
        </w:numPr>
        <w:spacing w:after="0" w:line="22" w:lineRule="atLeast"/>
        <w:ind w:left="-142" w:right="-755"/>
        <w:jc w:val="both"/>
        <w:rPr>
          <w:rFonts w:ascii="Arial" w:hAnsi="Arial" w:cs="Arial"/>
          <w:sz w:val="20"/>
          <w:szCs w:val="20"/>
        </w:rPr>
      </w:pPr>
      <w:r w:rsidRPr="00FF7F8C">
        <w:rPr>
          <w:rFonts w:ascii="Arial" w:hAnsi="Arial" w:cs="Arial"/>
          <w:sz w:val="20"/>
          <w:szCs w:val="20"/>
        </w:rPr>
        <w:t xml:space="preserve">Notes of Preliminary Consideration meeting </w:t>
      </w:r>
    </w:p>
    <w:p w14:paraId="5976F0DC" w14:textId="77777777" w:rsidR="00BF5090" w:rsidRPr="00FF7F8C" w:rsidRDefault="00BF5090" w:rsidP="00D1079F">
      <w:pPr>
        <w:pStyle w:val="ListParagraph"/>
        <w:numPr>
          <w:ilvl w:val="0"/>
          <w:numId w:val="3"/>
        </w:numPr>
        <w:spacing w:after="0" w:line="22" w:lineRule="atLeast"/>
        <w:ind w:left="-142" w:right="-755"/>
        <w:jc w:val="both"/>
        <w:rPr>
          <w:rFonts w:ascii="Arial" w:hAnsi="Arial" w:cs="Arial"/>
          <w:sz w:val="20"/>
          <w:szCs w:val="20"/>
        </w:rPr>
      </w:pPr>
      <w:r w:rsidRPr="00FF7F8C">
        <w:rPr>
          <w:rFonts w:ascii="Arial" w:hAnsi="Arial" w:cs="Arial"/>
          <w:sz w:val="20"/>
          <w:szCs w:val="20"/>
        </w:rPr>
        <w:t xml:space="preserve">Any evidence submitted to the Preliminary Consideration stage that is deemed appropriate to the case </w:t>
      </w:r>
    </w:p>
    <w:p w14:paraId="5976F0DD" w14:textId="77777777" w:rsidR="008E644F" w:rsidRPr="00FF7F8C" w:rsidRDefault="008E644F" w:rsidP="00D1079F">
      <w:pPr>
        <w:pStyle w:val="ListParagraph"/>
        <w:numPr>
          <w:ilvl w:val="0"/>
          <w:numId w:val="3"/>
        </w:numPr>
        <w:spacing w:after="0" w:line="22" w:lineRule="atLeast"/>
        <w:ind w:left="-142" w:right="-755"/>
        <w:jc w:val="both"/>
        <w:rPr>
          <w:rFonts w:ascii="Arial" w:hAnsi="Arial" w:cs="Arial"/>
          <w:sz w:val="20"/>
          <w:szCs w:val="20"/>
        </w:rPr>
      </w:pPr>
      <w:r w:rsidRPr="00FF7F8C">
        <w:rPr>
          <w:rFonts w:ascii="Arial" w:hAnsi="Arial" w:cs="Arial"/>
          <w:sz w:val="20"/>
          <w:szCs w:val="20"/>
        </w:rPr>
        <w:t xml:space="preserve">Complete annotated assessment, excluding any mark and any feedback to the student </w:t>
      </w:r>
    </w:p>
    <w:p w14:paraId="5976F0DE" w14:textId="77777777" w:rsidR="008E644F" w:rsidRPr="00FF7F8C" w:rsidRDefault="008E644F" w:rsidP="00D1079F">
      <w:pPr>
        <w:pStyle w:val="ListParagraph"/>
        <w:numPr>
          <w:ilvl w:val="0"/>
          <w:numId w:val="3"/>
        </w:numPr>
        <w:spacing w:after="0" w:line="22" w:lineRule="atLeast"/>
        <w:ind w:left="-142" w:right="-755"/>
        <w:jc w:val="both"/>
        <w:rPr>
          <w:rFonts w:ascii="Arial" w:hAnsi="Arial" w:cs="Arial"/>
          <w:sz w:val="20"/>
          <w:szCs w:val="20"/>
        </w:rPr>
      </w:pPr>
      <w:r w:rsidRPr="00FF7F8C">
        <w:rPr>
          <w:rFonts w:ascii="Arial" w:hAnsi="Arial" w:cs="Arial"/>
          <w:sz w:val="20"/>
          <w:szCs w:val="20"/>
        </w:rPr>
        <w:t xml:space="preserve">Electronic copy of the assessment under consideration (if required) </w:t>
      </w:r>
    </w:p>
    <w:p w14:paraId="5976F0DF" w14:textId="72657784" w:rsidR="008E644F" w:rsidRPr="00FF7F8C" w:rsidRDefault="008E644F" w:rsidP="00D1079F">
      <w:pPr>
        <w:pStyle w:val="ListParagraph"/>
        <w:numPr>
          <w:ilvl w:val="0"/>
          <w:numId w:val="3"/>
        </w:numPr>
        <w:spacing w:after="0" w:line="22" w:lineRule="atLeast"/>
        <w:ind w:left="-142" w:right="-755"/>
        <w:jc w:val="both"/>
        <w:rPr>
          <w:rFonts w:ascii="Arial" w:hAnsi="Arial" w:cs="Arial"/>
          <w:sz w:val="20"/>
          <w:szCs w:val="20"/>
        </w:rPr>
      </w:pPr>
      <w:r w:rsidRPr="00FF7F8C">
        <w:rPr>
          <w:rFonts w:ascii="Arial" w:hAnsi="Arial" w:cs="Arial"/>
          <w:sz w:val="20"/>
          <w:szCs w:val="20"/>
        </w:rPr>
        <w:t xml:space="preserve">Evidence </w:t>
      </w:r>
      <w:r w:rsidR="00BF5090" w:rsidRPr="00FF7F8C">
        <w:rPr>
          <w:rFonts w:ascii="Arial" w:hAnsi="Arial" w:cs="Arial"/>
          <w:sz w:val="20"/>
          <w:szCs w:val="20"/>
        </w:rPr>
        <w:t>to support the claim</w:t>
      </w:r>
      <w:r w:rsidR="005445CE">
        <w:rPr>
          <w:rFonts w:ascii="Arial" w:hAnsi="Arial" w:cs="Arial"/>
          <w:sz w:val="20"/>
          <w:szCs w:val="20"/>
        </w:rPr>
        <w:t xml:space="preserve"> </w:t>
      </w:r>
      <w:r w:rsidRPr="00FF7F8C">
        <w:rPr>
          <w:rFonts w:ascii="Arial" w:hAnsi="Arial" w:cs="Arial"/>
          <w:sz w:val="20"/>
          <w:szCs w:val="20"/>
        </w:rPr>
        <w:t xml:space="preserve">(e.g. website copies of source material) </w:t>
      </w:r>
    </w:p>
    <w:p w14:paraId="5976F0E0" w14:textId="77777777" w:rsidR="008E644F" w:rsidRPr="00FF7F8C" w:rsidRDefault="008E644F" w:rsidP="00D1079F">
      <w:pPr>
        <w:pStyle w:val="ListParagraph"/>
        <w:numPr>
          <w:ilvl w:val="0"/>
          <w:numId w:val="3"/>
        </w:numPr>
        <w:spacing w:after="0" w:line="22" w:lineRule="atLeast"/>
        <w:ind w:left="-142" w:right="-755"/>
        <w:jc w:val="both"/>
        <w:rPr>
          <w:rFonts w:ascii="Arial" w:hAnsi="Arial" w:cs="Arial"/>
          <w:sz w:val="20"/>
          <w:szCs w:val="20"/>
        </w:rPr>
      </w:pPr>
      <w:r w:rsidRPr="00FF7F8C">
        <w:rPr>
          <w:rFonts w:ascii="Arial" w:hAnsi="Arial" w:cs="Arial"/>
          <w:sz w:val="20"/>
          <w:szCs w:val="20"/>
        </w:rPr>
        <w:t xml:space="preserve">Unit Guide </w:t>
      </w:r>
    </w:p>
    <w:p w14:paraId="5976F0E1" w14:textId="77777777" w:rsidR="008E644F" w:rsidRPr="00FF7F8C" w:rsidRDefault="008E644F" w:rsidP="00D1079F">
      <w:pPr>
        <w:pStyle w:val="ListParagraph"/>
        <w:numPr>
          <w:ilvl w:val="0"/>
          <w:numId w:val="3"/>
        </w:numPr>
        <w:spacing w:after="0" w:line="22" w:lineRule="atLeast"/>
        <w:ind w:left="-142" w:right="-755"/>
        <w:jc w:val="both"/>
        <w:rPr>
          <w:rFonts w:ascii="Arial" w:hAnsi="Arial" w:cs="Arial"/>
          <w:sz w:val="20"/>
          <w:szCs w:val="20"/>
        </w:rPr>
      </w:pPr>
      <w:r w:rsidRPr="00FF7F8C">
        <w:rPr>
          <w:rFonts w:ascii="Arial" w:hAnsi="Arial" w:cs="Arial"/>
          <w:sz w:val="20"/>
          <w:szCs w:val="20"/>
        </w:rPr>
        <w:t xml:space="preserve">Assessment Brief </w:t>
      </w:r>
    </w:p>
    <w:p w14:paraId="5976F0E2" w14:textId="77777777" w:rsidR="008E644F" w:rsidRPr="00FF7F8C" w:rsidRDefault="008E644F" w:rsidP="00D1079F">
      <w:pPr>
        <w:pStyle w:val="ListParagraph"/>
        <w:numPr>
          <w:ilvl w:val="0"/>
          <w:numId w:val="3"/>
        </w:numPr>
        <w:spacing w:after="0" w:line="22" w:lineRule="atLeast"/>
        <w:ind w:left="-142" w:right="-755"/>
        <w:jc w:val="both"/>
        <w:rPr>
          <w:rFonts w:ascii="Arial" w:hAnsi="Arial" w:cs="Arial"/>
          <w:sz w:val="20"/>
          <w:szCs w:val="20"/>
        </w:rPr>
      </w:pPr>
      <w:r w:rsidRPr="00FF7F8C">
        <w:rPr>
          <w:rFonts w:ascii="Arial" w:hAnsi="Arial" w:cs="Arial"/>
          <w:sz w:val="20"/>
          <w:szCs w:val="20"/>
        </w:rPr>
        <w:t>Witness Statements (where applicable)</w:t>
      </w:r>
    </w:p>
    <w:p w14:paraId="5976F0E3" w14:textId="77777777" w:rsidR="00496AAF" w:rsidRPr="00FF7F8C" w:rsidRDefault="00496AAF" w:rsidP="00D1079F">
      <w:pPr>
        <w:spacing w:after="0" w:line="22" w:lineRule="atLeast"/>
        <w:ind w:left="-851" w:right="-755"/>
        <w:jc w:val="both"/>
        <w:rPr>
          <w:rFonts w:ascii="Arial" w:hAnsi="Arial" w:cs="Arial"/>
          <w:b/>
          <w:sz w:val="20"/>
          <w:szCs w:val="20"/>
        </w:rPr>
      </w:pPr>
    </w:p>
    <w:p w14:paraId="5976F0E4" w14:textId="77777777" w:rsidR="00BF795D" w:rsidRPr="00FF7F8C" w:rsidRDefault="00BF795D" w:rsidP="00D1079F">
      <w:pPr>
        <w:spacing w:after="0" w:line="22" w:lineRule="atLeast"/>
        <w:ind w:left="-851" w:right="-755"/>
        <w:jc w:val="both"/>
        <w:rPr>
          <w:rFonts w:ascii="Arial" w:hAnsi="Arial" w:cs="Arial"/>
          <w:b/>
          <w:sz w:val="20"/>
          <w:szCs w:val="20"/>
        </w:rPr>
      </w:pPr>
    </w:p>
    <w:p w14:paraId="5976F0E5" w14:textId="77777777" w:rsidR="00BF07AC" w:rsidRPr="00FF7F8C" w:rsidRDefault="00BF07AC" w:rsidP="00D1079F">
      <w:pPr>
        <w:pStyle w:val="ListParagraph"/>
        <w:numPr>
          <w:ilvl w:val="0"/>
          <w:numId w:val="4"/>
        </w:numPr>
        <w:spacing w:after="0" w:line="22" w:lineRule="atLeast"/>
        <w:ind w:left="-426" w:right="-755" w:hanging="426"/>
        <w:jc w:val="both"/>
        <w:rPr>
          <w:rFonts w:ascii="Arial" w:hAnsi="Arial" w:cs="Arial"/>
          <w:b/>
          <w:sz w:val="20"/>
          <w:szCs w:val="20"/>
        </w:rPr>
      </w:pPr>
      <w:r w:rsidRPr="00FF7F8C">
        <w:rPr>
          <w:rFonts w:ascii="Arial" w:hAnsi="Arial" w:cs="Arial"/>
          <w:b/>
          <w:sz w:val="20"/>
          <w:szCs w:val="20"/>
        </w:rPr>
        <w:t>Guidance for Students</w:t>
      </w:r>
    </w:p>
    <w:p w14:paraId="5976F0E6" w14:textId="77777777" w:rsidR="00BF07AC" w:rsidRPr="00FF7F8C" w:rsidRDefault="00BF07AC" w:rsidP="00D1079F">
      <w:pPr>
        <w:spacing w:after="0" w:line="22" w:lineRule="atLeast"/>
        <w:ind w:left="-851" w:right="-755"/>
        <w:jc w:val="both"/>
        <w:rPr>
          <w:rFonts w:ascii="Arial" w:hAnsi="Arial" w:cs="Arial"/>
          <w:b/>
          <w:sz w:val="20"/>
          <w:szCs w:val="20"/>
        </w:rPr>
      </w:pPr>
      <w:r w:rsidRPr="00FF7F8C">
        <w:rPr>
          <w:rFonts w:ascii="Arial" w:hAnsi="Arial" w:cs="Arial"/>
          <w:b/>
          <w:sz w:val="20"/>
          <w:szCs w:val="20"/>
        </w:rPr>
        <w:t xml:space="preserve"> </w:t>
      </w:r>
    </w:p>
    <w:p w14:paraId="5976F0E7" w14:textId="77777777" w:rsidR="00BF07AC" w:rsidRPr="00FF7F8C" w:rsidRDefault="00BF07AC" w:rsidP="00D1079F">
      <w:pPr>
        <w:spacing w:after="0" w:line="22" w:lineRule="atLeast"/>
        <w:ind w:left="-851" w:right="-755"/>
        <w:jc w:val="both"/>
        <w:rPr>
          <w:rFonts w:ascii="Arial" w:hAnsi="Arial" w:cs="Arial"/>
          <w:b/>
          <w:sz w:val="20"/>
          <w:szCs w:val="20"/>
        </w:rPr>
      </w:pPr>
      <w:r w:rsidRPr="00FF7F8C">
        <w:rPr>
          <w:rFonts w:ascii="Arial" w:hAnsi="Arial" w:cs="Arial"/>
          <w:b/>
          <w:sz w:val="20"/>
          <w:szCs w:val="20"/>
        </w:rPr>
        <w:t>General Guidance</w:t>
      </w:r>
    </w:p>
    <w:p w14:paraId="5976F0E8" w14:textId="77777777" w:rsidR="00474D12" w:rsidRPr="00FF7F8C" w:rsidRDefault="00BE4A5D" w:rsidP="00D1079F">
      <w:pPr>
        <w:spacing w:after="0" w:line="22" w:lineRule="atLeast"/>
        <w:ind w:left="-851" w:right="-755"/>
        <w:jc w:val="both"/>
        <w:rPr>
          <w:rFonts w:ascii="Arial" w:hAnsi="Arial" w:cs="Arial"/>
          <w:sz w:val="20"/>
          <w:szCs w:val="20"/>
        </w:rPr>
      </w:pPr>
      <w:r w:rsidRPr="00FF7F8C">
        <w:rPr>
          <w:rFonts w:ascii="Arial" w:hAnsi="Arial" w:cs="Arial"/>
          <w:sz w:val="20"/>
          <w:szCs w:val="20"/>
        </w:rPr>
        <w:t xml:space="preserve">Advice and support in relation to suspected academic offences can be sought from SUBU advice </w:t>
      </w:r>
      <w:r w:rsidR="00474D12" w:rsidRPr="00FF7F8C">
        <w:rPr>
          <w:rFonts w:ascii="Arial" w:hAnsi="Arial" w:cs="Arial"/>
          <w:sz w:val="20"/>
          <w:szCs w:val="20"/>
        </w:rPr>
        <w:t>(</w:t>
      </w:r>
      <w:hyperlink r:id="rId10" w:history="1">
        <w:r w:rsidR="00474D12" w:rsidRPr="00FF7F8C">
          <w:rPr>
            <w:rStyle w:val="Hyperlink"/>
            <w:rFonts w:ascii="Arial" w:hAnsi="Arial" w:cs="Arial"/>
            <w:sz w:val="20"/>
            <w:szCs w:val="20"/>
          </w:rPr>
          <w:t>http://www.subu.org.uk/advice</w:t>
        </w:r>
      </w:hyperlink>
      <w:r w:rsidR="00474D12" w:rsidRPr="00FF7F8C">
        <w:rPr>
          <w:rFonts w:ascii="Arial" w:hAnsi="Arial" w:cs="Arial"/>
          <w:sz w:val="20"/>
          <w:szCs w:val="20"/>
        </w:rPr>
        <w:t xml:space="preserve">) via email </w:t>
      </w:r>
      <w:hyperlink r:id="rId11" w:history="1">
        <w:r w:rsidR="00474D12" w:rsidRPr="00FF7F8C">
          <w:rPr>
            <w:rStyle w:val="Hyperlink"/>
            <w:rFonts w:ascii="Arial" w:hAnsi="Arial" w:cs="Arial"/>
            <w:sz w:val="20"/>
            <w:szCs w:val="20"/>
          </w:rPr>
          <w:t>subuadvice@bournemouth.ac.uk</w:t>
        </w:r>
      </w:hyperlink>
      <w:r w:rsidR="00474D12" w:rsidRPr="00FF7F8C">
        <w:rPr>
          <w:rFonts w:ascii="Arial" w:hAnsi="Arial" w:cs="Arial"/>
          <w:sz w:val="20"/>
          <w:szCs w:val="20"/>
        </w:rPr>
        <w:t xml:space="preserve"> or telephone (01202) 965779.</w:t>
      </w:r>
      <w:r w:rsidR="00027CEC">
        <w:rPr>
          <w:rFonts w:ascii="Arial" w:hAnsi="Arial" w:cs="Arial"/>
          <w:sz w:val="20"/>
          <w:szCs w:val="20"/>
        </w:rPr>
        <w:t xml:space="preserve"> Students are encouraged to engage with SUBU advice as early as possible.</w:t>
      </w:r>
    </w:p>
    <w:p w14:paraId="5976F0E9" w14:textId="2EAE4F85" w:rsidR="00BE4A5D" w:rsidRPr="00FF7F8C" w:rsidRDefault="00474D12" w:rsidP="00D1079F">
      <w:pPr>
        <w:tabs>
          <w:tab w:val="center" w:pos="4465"/>
        </w:tabs>
        <w:spacing w:after="0" w:line="22" w:lineRule="atLeast"/>
        <w:ind w:left="-851" w:right="-755"/>
        <w:jc w:val="both"/>
        <w:rPr>
          <w:rFonts w:ascii="Arial" w:hAnsi="Arial" w:cs="Arial"/>
          <w:b/>
          <w:sz w:val="20"/>
          <w:szCs w:val="20"/>
        </w:rPr>
      </w:pPr>
      <w:r w:rsidRPr="00FF7F8C">
        <w:rPr>
          <w:rFonts w:ascii="Arial" w:hAnsi="Arial" w:cs="Arial"/>
          <w:sz w:val="20"/>
          <w:szCs w:val="20"/>
        </w:rPr>
        <w:t xml:space="preserve"> </w:t>
      </w:r>
      <w:r w:rsidR="000839BB">
        <w:rPr>
          <w:rFonts w:ascii="Arial" w:hAnsi="Arial" w:cs="Arial"/>
          <w:sz w:val="20"/>
          <w:szCs w:val="20"/>
        </w:rPr>
        <w:tab/>
      </w:r>
    </w:p>
    <w:p w14:paraId="5976F0EA" w14:textId="543496A4" w:rsidR="00BF07AC" w:rsidRPr="00FF7F8C" w:rsidRDefault="00BF07AC" w:rsidP="00D1079F">
      <w:pPr>
        <w:spacing w:after="0" w:line="22" w:lineRule="atLeast"/>
        <w:ind w:left="-851" w:right="-755"/>
        <w:jc w:val="both"/>
        <w:rPr>
          <w:rFonts w:ascii="Arial" w:hAnsi="Arial" w:cs="Arial"/>
          <w:sz w:val="20"/>
          <w:szCs w:val="20"/>
        </w:rPr>
      </w:pPr>
      <w:r w:rsidRPr="00FF7F8C">
        <w:rPr>
          <w:rFonts w:ascii="Arial" w:hAnsi="Arial" w:cs="Arial"/>
          <w:sz w:val="20"/>
          <w:szCs w:val="20"/>
        </w:rPr>
        <w:t>Students will receive</w:t>
      </w:r>
      <w:r w:rsidR="000839BB">
        <w:rPr>
          <w:rFonts w:ascii="Arial" w:hAnsi="Arial" w:cs="Arial"/>
          <w:sz w:val="20"/>
          <w:szCs w:val="20"/>
        </w:rPr>
        <w:t xml:space="preserve"> at least ten working days notice</w:t>
      </w:r>
      <w:r w:rsidRPr="00FF7F8C">
        <w:rPr>
          <w:rFonts w:ascii="Arial" w:hAnsi="Arial" w:cs="Arial"/>
          <w:sz w:val="20"/>
          <w:szCs w:val="20"/>
        </w:rPr>
        <w:t xml:space="preserve"> of the date of the</w:t>
      </w:r>
      <w:r w:rsidR="000839BB">
        <w:rPr>
          <w:rFonts w:ascii="Arial" w:hAnsi="Arial" w:cs="Arial"/>
          <w:sz w:val="20"/>
          <w:szCs w:val="20"/>
        </w:rPr>
        <w:t xml:space="preserve"> meeting with the Chair of the Faculty investigation, or</w:t>
      </w:r>
      <w:r w:rsidRPr="00FF7F8C">
        <w:rPr>
          <w:rFonts w:ascii="Arial" w:hAnsi="Arial" w:cs="Arial"/>
          <w:sz w:val="20"/>
          <w:szCs w:val="20"/>
        </w:rPr>
        <w:t xml:space="preserve"> Panel or Board which will consider the suspected case</w:t>
      </w:r>
      <w:r w:rsidR="00CB7B46" w:rsidRPr="00FF7F8C">
        <w:rPr>
          <w:rFonts w:ascii="Arial" w:hAnsi="Arial" w:cs="Arial"/>
          <w:sz w:val="20"/>
          <w:szCs w:val="20"/>
        </w:rPr>
        <w:t>.</w:t>
      </w:r>
      <w:r w:rsidR="00EE49F2">
        <w:rPr>
          <w:rFonts w:ascii="Arial" w:hAnsi="Arial" w:cs="Arial"/>
          <w:sz w:val="20"/>
          <w:szCs w:val="20"/>
        </w:rPr>
        <w:t xml:space="preserve"> This communication will normally be made via email to the Student’s BU email address.  It is the responsibility of students to ensure that they check their BU email address for confirmation of dates and arrangements.</w:t>
      </w:r>
    </w:p>
    <w:p w14:paraId="5976F0EB" w14:textId="77777777" w:rsidR="00CB7B46" w:rsidRPr="00FF7F8C" w:rsidRDefault="00CB7B46" w:rsidP="00D1079F">
      <w:pPr>
        <w:spacing w:after="0" w:line="22" w:lineRule="atLeast"/>
        <w:ind w:left="-851" w:right="-755"/>
        <w:jc w:val="both"/>
        <w:rPr>
          <w:rFonts w:ascii="Arial" w:hAnsi="Arial" w:cs="Arial"/>
          <w:sz w:val="20"/>
          <w:szCs w:val="20"/>
        </w:rPr>
      </w:pPr>
    </w:p>
    <w:p w14:paraId="5976F0EC" w14:textId="77777777" w:rsidR="00CB7B46" w:rsidRPr="00FF7F8C" w:rsidRDefault="00CB7B46" w:rsidP="00D1079F">
      <w:pPr>
        <w:spacing w:after="0" w:line="22" w:lineRule="atLeast"/>
        <w:ind w:left="-851" w:right="-755"/>
        <w:jc w:val="both"/>
        <w:rPr>
          <w:rFonts w:ascii="Arial" w:hAnsi="Arial" w:cs="Arial"/>
          <w:sz w:val="20"/>
          <w:szCs w:val="20"/>
        </w:rPr>
      </w:pPr>
      <w:r w:rsidRPr="00FF7F8C">
        <w:rPr>
          <w:rFonts w:ascii="Arial" w:hAnsi="Arial" w:cs="Arial"/>
          <w:sz w:val="20"/>
          <w:szCs w:val="20"/>
        </w:rPr>
        <w:t xml:space="preserve">At this point students will be asked if they wish to provide a written statement in defence of the case being considered. </w:t>
      </w:r>
    </w:p>
    <w:p w14:paraId="5976F0ED" w14:textId="77777777" w:rsidR="00CB7B46" w:rsidRPr="00FF7F8C" w:rsidRDefault="00CB7B46" w:rsidP="00D1079F">
      <w:pPr>
        <w:spacing w:after="0" w:line="22" w:lineRule="atLeast"/>
        <w:ind w:left="-851" w:right="-755"/>
        <w:jc w:val="both"/>
        <w:rPr>
          <w:rFonts w:ascii="Arial" w:hAnsi="Arial" w:cs="Arial"/>
          <w:sz w:val="20"/>
          <w:szCs w:val="20"/>
        </w:rPr>
      </w:pPr>
    </w:p>
    <w:p w14:paraId="5976F0EE" w14:textId="77777777" w:rsidR="00CB7B46" w:rsidRPr="00FF7F8C" w:rsidRDefault="00CB7B46" w:rsidP="00D1079F">
      <w:pPr>
        <w:spacing w:after="0" w:line="22" w:lineRule="atLeast"/>
        <w:ind w:left="-851" w:right="-755"/>
        <w:jc w:val="both"/>
        <w:rPr>
          <w:rFonts w:ascii="Arial" w:hAnsi="Arial" w:cs="Arial"/>
          <w:sz w:val="20"/>
          <w:szCs w:val="20"/>
        </w:rPr>
      </w:pPr>
      <w:r w:rsidRPr="00FF7F8C">
        <w:rPr>
          <w:rFonts w:ascii="Arial" w:hAnsi="Arial" w:cs="Arial"/>
          <w:sz w:val="20"/>
          <w:szCs w:val="20"/>
        </w:rPr>
        <w:t>Students should be aware that if they decline to submit a written statement before the Chair of the Panel or Board confirms that no further evidence can be presented</w:t>
      </w:r>
      <w:r w:rsidR="0095733D">
        <w:rPr>
          <w:rFonts w:ascii="Arial" w:hAnsi="Arial" w:cs="Arial"/>
          <w:sz w:val="20"/>
          <w:szCs w:val="20"/>
        </w:rPr>
        <w:t>,</w:t>
      </w:r>
      <w:r w:rsidRPr="00FF7F8C">
        <w:rPr>
          <w:rFonts w:ascii="Arial" w:hAnsi="Arial" w:cs="Arial"/>
          <w:sz w:val="20"/>
          <w:szCs w:val="20"/>
        </w:rPr>
        <w:t xml:space="preserve"> they cannot submit further information for consideration after the outcome has been confirmed</w:t>
      </w:r>
      <w:r w:rsidR="0095733D">
        <w:rPr>
          <w:rFonts w:ascii="Arial" w:hAnsi="Arial" w:cs="Arial"/>
          <w:sz w:val="20"/>
          <w:szCs w:val="20"/>
        </w:rPr>
        <w:t>;</w:t>
      </w:r>
      <w:r w:rsidRPr="00FF7F8C">
        <w:rPr>
          <w:rFonts w:ascii="Arial" w:hAnsi="Arial" w:cs="Arial"/>
          <w:sz w:val="20"/>
          <w:szCs w:val="20"/>
        </w:rPr>
        <w:t xml:space="preserve"> </w:t>
      </w:r>
      <w:r w:rsidR="0095733D">
        <w:rPr>
          <w:rFonts w:ascii="Arial" w:hAnsi="Arial" w:cs="Arial"/>
          <w:sz w:val="20"/>
          <w:szCs w:val="20"/>
        </w:rPr>
        <w:t>neither will</w:t>
      </w:r>
      <w:r w:rsidRPr="00FF7F8C">
        <w:rPr>
          <w:rFonts w:ascii="Arial" w:hAnsi="Arial" w:cs="Arial"/>
          <w:sz w:val="20"/>
          <w:szCs w:val="20"/>
        </w:rPr>
        <w:t xml:space="preserve"> further evidence be considered in support of an Appeal.</w:t>
      </w:r>
    </w:p>
    <w:p w14:paraId="5976F0EF" w14:textId="77777777" w:rsidR="00BF07AC" w:rsidRPr="00FF7F8C" w:rsidRDefault="00BF07AC" w:rsidP="00D1079F">
      <w:pPr>
        <w:spacing w:after="0" w:line="22" w:lineRule="atLeast"/>
        <w:ind w:left="-851" w:right="-755"/>
        <w:jc w:val="both"/>
        <w:rPr>
          <w:rFonts w:ascii="Arial" w:hAnsi="Arial" w:cs="Arial"/>
          <w:b/>
          <w:sz w:val="20"/>
          <w:szCs w:val="20"/>
        </w:rPr>
      </w:pPr>
    </w:p>
    <w:p w14:paraId="5976F0F0" w14:textId="77777777" w:rsidR="00496AAF" w:rsidRPr="00FF7F8C" w:rsidRDefault="00496AAF" w:rsidP="00D1079F">
      <w:pPr>
        <w:spacing w:after="0" w:line="22" w:lineRule="atLeast"/>
        <w:ind w:left="-851" w:right="-755"/>
        <w:jc w:val="both"/>
        <w:rPr>
          <w:rFonts w:ascii="Arial" w:hAnsi="Arial" w:cs="Arial"/>
          <w:b/>
          <w:sz w:val="20"/>
          <w:szCs w:val="20"/>
        </w:rPr>
      </w:pPr>
      <w:r w:rsidRPr="00FF7F8C">
        <w:rPr>
          <w:rFonts w:ascii="Arial" w:hAnsi="Arial" w:cs="Arial"/>
          <w:b/>
          <w:sz w:val="20"/>
          <w:szCs w:val="20"/>
        </w:rPr>
        <w:t>Student Submission of Evidence</w:t>
      </w:r>
    </w:p>
    <w:p w14:paraId="5976F0F1" w14:textId="62D977C9" w:rsidR="00496AAF" w:rsidRPr="00FF7F8C" w:rsidRDefault="00527A12" w:rsidP="00D1079F">
      <w:pPr>
        <w:spacing w:after="0" w:line="22" w:lineRule="atLeast"/>
        <w:ind w:left="-851" w:right="-755"/>
        <w:jc w:val="both"/>
        <w:rPr>
          <w:rFonts w:ascii="Arial" w:hAnsi="Arial" w:cs="Arial"/>
          <w:sz w:val="20"/>
          <w:szCs w:val="20"/>
        </w:rPr>
      </w:pPr>
      <w:r>
        <w:rPr>
          <w:rFonts w:ascii="Arial" w:hAnsi="Arial" w:cs="Arial"/>
          <w:sz w:val="20"/>
          <w:szCs w:val="20"/>
        </w:rPr>
        <w:t xml:space="preserve">Students may submit any supporting evidence alongside their written statement to the </w:t>
      </w:r>
      <w:r w:rsidR="00917184">
        <w:rPr>
          <w:rFonts w:ascii="Arial" w:hAnsi="Arial" w:cs="Arial"/>
          <w:sz w:val="20"/>
          <w:szCs w:val="20"/>
        </w:rPr>
        <w:t xml:space="preserve">Chair of a Faculty investigation, Academic Offences </w:t>
      </w:r>
      <w:r>
        <w:rPr>
          <w:rFonts w:ascii="Arial" w:hAnsi="Arial" w:cs="Arial"/>
          <w:sz w:val="20"/>
          <w:szCs w:val="20"/>
        </w:rPr>
        <w:t>Panel</w:t>
      </w:r>
      <w:r w:rsidR="00917184">
        <w:rPr>
          <w:rFonts w:ascii="Arial" w:hAnsi="Arial" w:cs="Arial"/>
          <w:sz w:val="20"/>
          <w:szCs w:val="20"/>
        </w:rPr>
        <w:t xml:space="preserve"> or University Academic Offences </w:t>
      </w:r>
      <w:r>
        <w:rPr>
          <w:rFonts w:ascii="Arial" w:hAnsi="Arial" w:cs="Arial"/>
          <w:sz w:val="20"/>
          <w:szCs w:val="20"/>
        </w:rPr>
        <w:t>Board</w:t>
      </w:r>
      <w:r w:rsidR="00496AAF" w:rsidRPr="00FF7F8C">
        <w:rPr>
          <w:rFonts w:ascii="Arial" w:hAnsi="Arial" w:cs="Arial"/>
          <w:sz w:val="20"/>
          <w:szCs w:val="20"/>
        </w:rPr>
        <w:t xml:space="preserve">. It is important that the statement and any additional evidence are submitted in a timely manner </w:t>
      </w:r>
      <w:r>
        <w:rPr>
          <w:rFonts w:ascii="Arial" w:hAnsi="Arial" w:cs="Arial"/>
          <w:sz w:val="20"/>
          <w:szCs w:val="20"/>
        </w:rPr>
        <w:t xml:space="preserve">prior to </w:t>
      </w:r>
      <w:r w:rsidR="00917184">
        <w:rPr>
          <w:rFonts w:ascii="Arial" w:hAnsi="Arial" w:cs="Arial"/>
          <w:sz w:val="20"/>
          <w:szCs w:val="20"/>
        </w:rPr>
        <w:t xml:space="preserve">any meeting with the Chair or </w:t>
      </w:r>
      <w:r>
        <w:rPr>
          <w:rFonts w:ascii="Arial" w:hAnsi="Arial" w:cs="Arial"/>
          <w:sz w:val="20"/>
          <w:szCs w:val="20"/>
        </w:rPr>
        <w:t>the Panel/Board convening</w:t>
      </w:r>
      <w:r w:rsidR="00EE49F2">
        <w:rPr>
          <w:rFonts w:ascii="Arial" w:hAnsi="Arial" w:cs="Arial"/>
          <w:sz w:val="20"/>
          <w:szCs w:val="20"/>
        </w:rPr>
        <w:t xml:space="preserve"> and in accordance with the instructions provided in the aforementioned communication regarding the date</w:t>
      </w:r>
      <w:r w:rsidR="00496AAF" w:rsidRPr="00FF7F8C">
        <w:rPr>
          <w:rFonts w:ascii="Arial" w:hAnsi="Arial" w:cs="Arial"/>
          <w:sz w:val="20"/>
          <w:szCs w:val="20"/>
        </w:rPr>
        <w:t xml:space="preserve">. </w:t>
      </w:r>
      <w:r w:rsidR="00917184">
        <w:rPr>
          <w:rFonts w:ascii="Arial" w:hAnsi="Arial" w:cs="Arial"/>
          <w:sz w:val="20"/>
          <w:szCs w:val="20"/>
        </w:rPr>
        <w:t>For Panels/Boards,</w:t>
      </w:r>
      <w:r w:rsidR="005445CE">
        <w:rPr>
          <w:rFonts w:ascii="Arial" w:hAnsi="Arial" w:cs="Arial"/>
          <w:sz w:val="20"/>
          <w:szCs w:val="20"/>
        </w:rPr>
        <w:t xml:space="preserve"> </w:t>
      </w:r>
      <w:r w:rsidR="00917184">
        <w:rPr>
          <w:rFonts w:ascii="Arial" w:hAnsi="Arial" w:cs="Arial"/>
          <w:sz w:val="20"/>
          <w:szCs w:val="20"/>
        </w:rPr>
        <w:t>a</w:t>
      </w:r>
      <w:r w:rsidR="009F1386">
        <w:rPr>
          <w:rFonts w:ascii="Arial" w:hAnsi="Arial" w:cs="Arial"/>
          <w:sz w:val="20"/>
          <w:szCs w:val="20"/>
        </w:rPr>
        <w:t xml:space="preserve">s documentation is normally circulated to all relevant attendees no later than 5 working days prior to the Panel or Board the deadline for submission will usually be at least 6 working days prior to the date of the Panel or Board. </w:t>
      </w:r>
    </w:p>
    <w:p w14:paraId="5976F0F2" w14:textId="77777777" w:rsidR="00496AAF" w:rsidRPr="00FF7F8C" w:rsidRDefault="00496AAF" w:rsidP="00D1079F">
      <w:pPr>
        <w:spacing w:after="0" w:line="22" w:lineRule="atLeast"/>
        <w:ind w:left="-851" w:right="-755"/>
        <w:jc w:val="both"/>
        <w:rPr>
          <w:rFonts w:ascii="Arial" w:hAnsi="Arial" w:cs="Arial"/>
          <w:sz w:val="20"/>
          <w:szCs w:val="20"/>
        </w:rPr>
      </w:pPr>
    </w:p>
    <w:p w14:paraId="5976F0F3" w14:textId="77777777" w:rsidR="00496AAF" w:rsidRDefault="00496AAF" w:rsidP="00D1079F">
      <w:pPr>
        <w:spacing w:after="0" w:line="22" w:lineRule="atLeast"/>
        <w:ind w:left="-851" w:right="-755"/>
        <w:jc w:val="both"/>
        <w:rPr>
          <w:rFonts w:ascii="Arial" w:hAnsi="Arial" w:cs="Arial"/>
          <w:sz w:val="20"/>
          <w:szCs w:val="20"/>
        </w:rPr>
      </w:pPr>
      <w:r w:rsidRPr="00FF7F8C">
        <w:rPr>
          <w:rFonts w:ascii="Arial" w:hAnsi="Arial" w:cs="Arial"/>
          <w:sz w:val="20"/>
          <w:szCs w:val="20"/>
        </w:rPr>
        <w:t xml:space="preserve">Students who wish to raise exceptional circumstances in support of their case should make reference to this within their statement. As outlined within the Academic Offences Policy and Procedure (section </w:t>
      </w:r>
      <w:r w:rsidR="002C68D1" w:rsidRPr="00FF7F8C">
        <w:rPr>
          <w:rFonts w:ascii="Arial" w:hAnsi="Arial" w:cs="Arial"/>
          <w:sz w:val="20"/>
          <w:szCs w:val="20"/>
        </w:rPr>
        <w:t>8.17</w:t>
      </w:r>
      <w:r w:rsidRPr="00FF7F8C">
        <w:rPr>
          <w:rFonts w:ascii="Arial" w:hAnsi="Arial" w:cs="Arial"/>
          <w:sz w:val="20"/>
          <w:szCs w:val="20"/>
        </w:rPr>
        <w:t>):</w:t>
      </w:r>
    </w:p>
    <w:p w14:paraId="5976F0F4" w14:textId="77777777" w:rsidR="00182D2D" w:rsidRPr="00FF7F8C" w:rsidRDefault="00182D2D" w:rsidP="00D1079F">
      <w:pPr>
        <w:spacing w:after="0" w:line="22" w:lineRule="atLeast"/>
        <w:ind w:left="-851" w:right="-755"/>
        <w:jc w:val="both"/>
        <w:rPr>
          <w:rFonts w:ascii="Arial" w:hAnsi="Arial" w:cs="Arial"/>
          <w:sz w:val="20"/>
          <w:szCs w:val="20"/>
        </w:rPr>
      </w:pPr>
    </w:p>
    <w:p w14:paraId="5976F0F5" w14:textId="77777777" w:rsidR="00496AAF" w:rsidRDefault="00496AAF" w:rsidP="00D1079F">
      <w:pPr>
        <w:spacing w:after="0" w:line="22" w:lineRule="atLeast"/>
        <w:ind w:left="-284" w:right="-46"/>
        <w:jc w:val="both"/>
        <w:rPr>
          <w:rFonts w:ascii="Arial" w:hAnsi="Arial" w:cs="Arial"/>
          <w:b/>
          <w:i/>
          <w:sz w:val="20"/>
          <w:szCs w:val="20"/>
        </w:rPr>
      </w:pPr>
      <w:r w:rsidRPr="00FF7F8C">
        <w:rPr>
          <w:rFonts w:ascii="Arial" w:hAnsi="Arial" w:cs="Arial"/>
          <w:i/>
          <w:sz w:val="20"/>
          <w:szCs w:val="20"/>
        </w:rPr>
        <w:t xml:space="preserve">In accordance with 6J – Exceptional Circumstances Including Extensions: Policy and Procedure: if a student has not informed the University of their circumstances at the appropriate time (i.e. via extension request, Assessment Board consideration or in advance of or at an Academic Offences Panel or Board hearing) </w:t>
      </w:r>
      <w:r w:rsidRPr="00FF7F8C">
        <w:rPr>
          <w:rFonts w:ascii="Arial" w:hAnsi="Arial" w:cs="Arial"/>
          <w:b/>
          <w:i/>
          <w:sz w:val="20"/>
          <w:szCs w:val="20"/>
        </w:rPr>
        <w:t xml:space="preserve">the circumstances will not be considered unless the student provides evidence of valid reasons for not doing so previously. </w:t>
      </w:r>
    </w:p>
    <w:p w14:paraId="5976F0F6" w14:textId="77777777" w:rsidR="00182D2D" w:rsidRPr="00FF7F8C" w:rsidRDefault="00182D2D" w:rsidP="00D1079F">
      <w:pPr>
        <w:spacing w:after="0" w:line="22" w:lineRule="atLeast"/>
        <w:ind w:left="-284" w:right="-46"/>
        <w:jc w:val="both"/>
        <w:rPr>
          <w:rFonts w:ascii="Arial" w:hAnsi="Arial" w:cs="Arial"/>
          <w:sz w:val="20"/>
          <w:szCs w:val="20"/>
        </w:rPr>
      </w:pPr>
    </w:p>
    <w:p w14:paraId="5976F0F7" w14:textId="77777777" w:rsidR="00496AAF" w:rsidRPr="00FF7F8C" w:rsidRDefault="00496AAF" w:rsidP="00D1079F">
      <w:pPr>
        <w:spacing w:after="0" w:line="22" w:lineRule="atLeast"/>
        <w:ind w:left="-851" w:right="-755"/>
        <w:jc w:val="both"/>
        <w:rPr>
          <w:rFonts w:ascii="Arial" w:hAnsi="Arial" w:cs="Arial"/>
          <w:sz w:val="20"/>
          <w:szCs w:val="20"/>
        </w:rPr>
      </w:pPr>
      <w:r w:rsidRPr="00FF7F8C">
        <w:rPr>
          <w:rFonts w:ascii="Arial" w:hAnsi="Arial" w:cs="Arial"/>
          <w:sz w:val="20"/>
          <w:szCs w:val="20"/>
        </w:rPr>
        <w:lastRenderedPageBreak/>
        <w:t xml:space="preserve">In such cases students may wish to supply evidence to support the valid reason for not having submitted their circumstances and are reminded to ensure that they submit in line with </w:t>
      </w:r>
      <w:r w:rsidRPr="00FF7F8C">
        <w:rPr>
          <w:rFonts w:ascii="Arial" w:hAnsi="Arial" w:cs="Arial"/>
          <w:i/>
          <w:sz w:val="20"/>
          <w:szCs w:val="20"/>
        </w:rPr>
        <w:t>6J – Exceptional Circumstances Including Extensions: Policy and Procedure</w:t>
      </w:r>
      <w:r w:rsidRPr="00FF7F8C">
        <w:rPr>
          <w:rFonts w:ascii="Arial" w:hAnsi="Arial" w:cs="Arial"/>
          <w:sz w:val="20"/>
          <w:szCs w:val="20"/>
        </w:rPr>
        <w:t xml:space="preserve"> as soon as possible.</w:t>
      </w:r>
    </w:p>
    <w:p w14:paraId="5976F0F8" w14:textId="77777777" w:rsidR="00496AAF" w:rsidRPr="00FF7F8C" w:rsidRDefault="00496AAF" w:rsidP="00D1079F">
      <w:pPr>
        <w:spacing w:after="0" w:line="22" w:lineRule="atLeast"/>
        <w:ind w:left="-851" w:right="-755"/>
        <w:jc w:val="both"/>
        <w:rPr>
          <w:rFonts w:ascii="Arial" w:hAnsi="Arial" w:cs="Arial"/>
          <w:sz w:val="20"/>
          <w:szCs w:val="20"/>
        </w:rPr>
      </w:pPr>
    </w:p>
    <w:p w14:paraId="5976F0F9" w14:textId="77777777" w:rsidR="008E644F" w:rsidRPr="00FF7F8C" w:rsidRDefault="00496AAF" w:rsidP="00D1079F">
      <w:pPr>
        <w:spacing w:after="0" w:line="22" w:lineRule="atLeast"/>
        <w:ind w:left="-851" w:right="-755"/>
        <w:jc w:val="both"/>
        <w:rPr>
          <w:rFonts w:ascii="Arial" w:hAnsi="Arial" w:cs="Arial"/>
          <w:sz w:val="20"/>
          <w:szCs w:val="20"/>
        </w:rPr>
      </w:pPr>
      <w:r w:rsidRPr="00FF7F8C">
        <w:rPr>
          <w:rFonts w:ascii="Arial" w:hAnsi="Arial" w:cs="Arial"/>
          <w:sz w:val="20"/>
          <w:szCs w:val="20"/>
        </w:rPr>
        <w:t xml:space="preserve">Students are reminded that </w:t>
      </w:r>
      <w:r w:rsidRPr="00FF7F8C">
        <w:rPr>
          <w:rFonts w:ascii="Arial" w:hAnsi="Arial" w:cs="Arial"/>
          <w:b/>
          <w:sz w:val="20"/>
          <w:szCs w:val="20"/>
        </w:rPr>
        <w:t xml:space="preserve">exceptional circumstances will </w:t>
      </w:r>
      <w:r w:rsidRPr="00FF7F8C">
        <w:rPr>
          <w:rFonts w:ascii="Arial" w:hAnsi="Arial" w:cs="Arial"/>
          <w:b/>
          <w:sz w:val="20"/>
          <w:szCs w:val="20"/>
          <w:u w:val="single"/>
        </w:rPr>
        <w:t>not</w:t>
      </w:r>
      <w:r w:rsidRPr="00FF7F8C">
        <w:rPr>
          <w:rFonts w:ascii="Arial" w:hAnsi="Arial" w:cs="Arial"/>
          <w:b/>
          <w:sz w:val="20"/>
          <w:szCs w:val="20"/>
        </w:rPr>
        <w:t xml:space="preserve"> be considered as grounds for excusing an academic offence</w:t>
      </w:r>
      <w:r w:rsidRPr="00FF7F8C">
        <w:rPr>
          <w:rFonts w:ascii="Arial" w:hAnsi="Arial" w:cs="Arial"/>
          <w:sz w:val="20"/>
          <w:szCs w:val="20"/>
        </w:rPr>
        <w:t>.</w:t>
      </w:r>
    </w:p>
    <w:sectPr w:rsidR="008E644F" w:rsidRPr="00FF7F8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FFC9" w14:textId="77777777" w:rsidR="00A272DD" w:rsidRDefault="00A272DD" w:rsidP="00BF5090">
      <w:pPr>
        <w:spacing w:after="0" w:line="240" w:lineRule="auto"/>
      </w:pPr>
      <w:r>
        <w:separator/>
      </w:r>
    </w:p>
  </w:endnote>
  <w:endnote w:type="continuationSeparator" w:id="0">
    <w:p w14:paraId="289901D6" w14:textId="77777777" w:rsidR="00A272DD" w:rsidRDefault="00A272DD" w:rsidP="00BF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F0FE" w14:textId="77777777" w:rsidR="0095733D" w:rsidRPr="00BF5090" w:rsidRDefault="0095733D" w:rsidP="00BF5090">
    <w:pPr>
      <w:pStyle w:val="Footer"/>
      <w:jc w:val="center"/>
      <w:rPr>
        <w:rFonts w:ascii="Arial" w:hAnsi="Arial" w:cs="Arial"/>
        <w:i/>
        <w:sz w:val="16"/>
      </w:rPr>
    </w:pPr>
    <w:r w:rsidRPr="00BF5090">
      <w:rPr>
        <w:rFonts w:ascii="Arial" w:hAnsi="Arial" w:cs="Arial"/>
        <w:i/>
        <w:sz w:val="16"/>
      </w:rPr>
      <w:t>6H- Academic Offences: Policy and Procedure for Taught Awards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B1F5" w14:textId="77777777" w:rsidR="00A272DD" w:rsidRDefault="00A272DD" w:rsidP="00BF5090">
      <w:pPr>
        <w:spacing w:after="0" w:line="240" w:lineRule="auto"/>
      </w:pPr>
      <w:r>
        <w:separator/>
      </w:r>
    </w:p>
  </w:footnote>
  <w:footnote w:type="continuationSeparator" w:id="0">
    <w:p w14:paraId="432D0401" w14:textId="77777777" w:rsidR="00A272DD" w:rsidRDefault="00A272DD" w:rsidP="00BF5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5052" w14:textId="1EF36A6B" w:rsidR="00E900D9" w:rsidRDefault="00E900D9" w:rsidP="00E900D9">
    <w:pPr>
      <w:pStyle w:val="Header"/>
      <w:jc w:val="center"/>
    </w:pPr>
  </w:p>
  <w:p w14:paraId="134A364C" w14:textId="77777777" w:rsidR="00E900D9" w:rsidRDefault="00E9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7C7"/>
    <w:multiLevelType w:val="hybridMultilevel"/>
    <w:tmpl w:val="900A3B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99D4E70"/>
    <w:multiLevelType w:val="hybridMultilevel"/>
    <w:tmpl w:val="E0C8FA74"/>
    <w:lvl w:ilvl="0" w:tplc="8F88BAB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C3563"/>
    <w:multiLevelType w:val="hybridMultilevel"/>
    <w:tmpl w:val="97F0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F0B13"/>
    <w:multiLevelType w:val="hybridMultilevel"/>
    <w:tmpl w:val="05C0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B4BEF"/>
    <w:multiLevelType w:val="hybridMultilevel"/>
    <w:tmpl w:val="EE003728"/>
    <w:lvl w:ilvl="0" w:tplc="8F88BABA">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9548F"/>
    <w:multiLevelType w:val="hybridMultilevel"/>
    <w:tmpl w:val="708C0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4F"/>
    <w:rsid w:val="00011920"/>
    <w:rsid w:val="000249FF"/>
    <w:rsid w:val="00027CEC"/>
    <w:rsid w:val="000839BB"/>
    <w:rsid w:val="00182D2D"/>
    <w:rsid w:val="00193036"/>
    <w:rsid w:val="00194336"/>
    <w:rsid w:val="001F47B0"/>
    <w:rsid w:val="002A1287"/>
    <w:rsid w:val="002C68D1"/>
    <w:rsid w:val="00322712"/>
    <w:rsid w:val="003517B5"/>
    <w:rsid w:val="00352AF6"/>
    <w:rsid w:val="003724D3"/>
    <w:rsid w:val="003925D7"/>
    <w:rsid w:val="003F32C3"/>
    <w:rsid w:val="004141C2"/>
    <w:rsid w:val="00424FDF"/>
    <w:rsid w:val="00474D12"/>
    <w:rsid w:val="00496AAF"/>
    <w:rsid w:val="004C3502"/>
    <w:rsid w:val="004D7EE8"/>
    <w:rsid w:val="00527A12"/>
    <w:rsid w:val="005445CE"/>
    <w:rsid w:val="00572D99"/>
    <w:rsid w:val="005B469D"/>
    <w:rsid w:val="005C7239"/>
    <w:rsid w:val="00657564"/>
    <w:rsid w:val="007B26F6"/>
    <w:rsid w:val="0080133C"/>
    <w:rsid w:val="008A0574"/>
    <w:rsid w:val="008E4CB1"/>
    <w:rsid w:val="008E644F"/>
    <w:rsid w:val="00917184"/>
    <w:rsid w:val="0095733D"/>
    <w:rsid w:val="009711D3"/>
    <w:rsid w:val="009A3AB3"/>
    <w:rsid w:val="009B30CE"/>
    <w:rsid w:val="009D315D"/>
    <w:rsid w:val="009E30D9"/>
    <w:rsid w:val="009F1386"/>
    <w:rsid w:val="00A00166"/>
    <w:rsid w:val="00A05CFC"/>
    <w:rsid w:val="00A1407A"/>
    <w:rsid w:val="00A272DD"/>
    <w:rsid w:val="00A50FCD"/>
    <w:rsid w:val="00A648AC"/>
    <w:rsid w:val="00A73028"/>
    <w:rsid w:val="00AA61AC"/>
    <w:rsid w:val="00AC3985"/>
    <w:rsid w:val="00AE0E6A"/>
    <w:rsid w:val="00B225B9"/>
    <w:rsid w:val="00B5282E"/>
    <w:rsid w:val="00B8676A"/>
    <w:rsid w:val="00BB48E2"/>
    <w:rsid w:val="00BC39B6"/>
    <w:rsid w:val="00BD03D6"/>
    <w:rsid w:val="00BE41B8"/>
    <w:rsid w:val="00BE4A5D"/>
    <w:rsid w:val="00BF07AC"/>
    <w:rsid w:val="00BF5090"/>
    <w:rsid w:val="00BF795D"/>
    <w:rsid w:val="00C23710"/>
    <w:rsid w:val="00C806CC"/>
    <w:rsid w:val="00CB7B46"/>
    <w:rsid w:val="00CC0719"/>
    <w:rsid w:val="00CE093B"/>
    <w:rsid w:val="00D1079F"/>
    <w:rsid w:val="00D452AA"/>
    <w:rsid w:val="00D72A84"/>
    <w:rsid w:val="00DB3FBD"/>
    <w:rsid w:val="00DB5B11"/>
    <w:rsid w:val="00E0525B"/>
    <w:rsid w:val="00E07E79"/>
    <w:rsid w:val="00E12F0A"/>
    <w:rsid w:val="00E17045"/>
    <w:rsid w:val="00E216CF"/>
    <w:rsid w:val="00E37120"/>
    <w:rsid w:val="00E47E0D"/>
    <w:rsid w:val="00E900D9"/>
    <w:rsid w:val="00E95399"/>
    <w:rsid w:val="00EE49F2"/>
    <w:rsid w:val="00FE1EF1"/>
    <w:rsid w:val="00FF369A"/>
    <w:rsid w:val="00FF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F0B4"/>
  <w15:docId w15:val="{E56D0D22-0E05-4B51-949C-E59F653F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44F"/>
    <w:pPr>
      <w:ind w:left="720"/>
      <w:contextualSpacing/>
    </w:pPr>
  </w:style>
  <w:style w:type="paragraph" w:styleId="Header">
    <w:name w:val="header"/>
    <w:basedOn w:val="Normal"/>
    <w:link w:val="HeaderChar"/>
    <w:uiPriority w:val="99"/>
    <w:unhideWhenUsed/>
    <w:rsid w:val="00BF5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090"/>
  </w:style>
  <w:style w:type="paragraph" w:styleId="Footer">
    <w:name w:val="footer"/>
    <w:basedOn w:val="Normal"/>
    <w:link w:val="FooterChar"/>
    <w:uiPriority w:val="99"/>
    <w:unhideWhenUsed/>
    <w:rsid w:val="00BF5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090"/>
  </w:style>
  <w:style w:type="character" w:styleId="Hyperlink">
    <w:name w:val="Hyperlink"/>
    <w:semiHidden/>
    <w:rsid w:val="00474D12"/>
    <w:rPr>
      <w:color w:val="0000FF"/>
      <w:u w:val="single"/>
    </w:rPr>
  </w:style>
  <w:style w:type="character" w:styleId="CommentReference">
    <w:name w:val="annotation reference"/>
    <w:basedOn w:val="DefaultParagraphFont"/>
    <w:uiPriority w:val="99"/>
    <w:semiHidden/>
    <w:unhideWhenUsed/>
    <w:rsid w:val="00527A12"/>
    <w:rPr>
      <w:sz w:val="16"/>
      <w:szCs w:val="16"/>
    </w:rPr>
  </w:style>
  <w:style w:type="paragraph" w:styleId="CommentText">
    <w:name w:val="annotation text"/>
    <w:basedOn w:val="Normal"/>
    <w:link w:val="CommentTextChar"/>
    <w:uiPriority w:val="99"/>
    <w:semiHidden/>
    <w:unhideWhenUsed/>
    <w:rsid w:val="00527A12"/>
    <w:pPr>
      <w:spacing w:line="240" w:lineRule="auto"/>
    </w:pPr>
    <w:rPr>
      <w:sz w:val="20"/>
      <w:szCs w:val="20"/>
    </w:rPr>
  </w:style>
  <w:style w:type="character" w:customStyle="1" w:styleId="CommentTextChar">
    <w:name w:val="Comment Text Char"/>
    <w:basedOn w:val="DefaultParagraphFont"/>
    <w:link w:val="CommentText"/>
    <w:uiPriority w:val="99"/>
    <w:semiHidden/>
    <w:rsid w:val="00527A12"/>
    <w:rPr>
      <w:sz w:val="20"/>
      <w:szCs w:val="20"/>
    </w:rPr>
  </w:style>
  <w:style w:type="paragraph" w:styleId="CommentSubject">
    <w:name w:val="annotation subject"/>
    <w:basedOn w:val="CommentText"/>
    <w:next w:val="CommentText"/>
    <w:link w:val="CommentSubjectChar"/>
    <w:uiPriority w:val="99"/>
    <w:semiHidden/>
    <w:unhideWhenUsed/>
    <w:rsid w:val="00527A12"/>
    <w:rPr>
      <w:b/>
      <w:bCs/>
    </w:rPr>
  </w:style>
  <w:style w:type="character" w:customStyle="1" w:styleId="CommentSubjectChar">
    <w:name w:val="Comment Subject Char"/>
    <w:basedOn w:val="CommentTextChar"/>
    <w:link w:val="CommentSubject"/>
    <w:uiPriority w:val="99"/>
    <w:semiHidden/>
    <w:rsid w:val="00527A12"/>
    <w:rPr>
      <w:b/>
      <w:bCs/>
      <w:sz w:val="20"/>
      <w:szCs w:val="20"/>
    </w:rPr>
  </w:style>
  <w:style w:type="paragraph" w:styleId="BalloonText">
    <w:name w:val="Balloon Text"/>
    <w:basedOn w:val="Normal"/>
    <w:link w:val="BalloonTextChar"/>
    <w:uiPriority w:val="99"/>
    <w:semiHidden/>
    <w:unhideWhenUsed/>
    <w:rsid w:val="0052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12"/>
    <w:rPr>
      <w:rFonts w:ascii="Tahoma" w:hAnsi="Tahoma" w:cs="Tahoma"/>
      <w:sz w:val="16"/>
      <w:szCs w:val="16"/>
    </w:rPr>
  </w:style>
  <w:style w:type="paragraph" w:styleId="Revision">
    <w:name w:val="Revision"/>
    <w:hidden/>
    <w:uiPriority w:val="99"/>
    <w:semiHidden/>
    <w:rsid w:val="00E0525B"/>
    <w:pPr>
      <w:spacing w:after="0" w:line="240" w:lineRule="auto"/>
    </w:pPr>
  </w:style>
  <w:style w:type="paragraph" w:customStyle="1" w:styleId="Default">
    <w:name w:val="Default"/>
    <w:rsid w:val="004C3502"/>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13200">
      <w:bodyDiv w:val="1"/>
      <w:marLeft w:val="0"/>
      <w:marRight w:val="0"/>
      <w:marTop w:val="0"/>
      <w:marBottom w:val="0"/>
      <w:divBdr>
        <w:top w:val="none" w:sz="0" w:space="0" w:color="auto"/>
        <w:left w:val="none" w:sz="0" w:space="0" w:color="auto"/>
        <w:bottom w:val="none" w:sz="0" w:space="0" w:color="auto"/>
        <w:right w:val="none" w:sz="0" w:space="0" w:color="auto"/>
      </w:divBdr>
      <w:divsChild>
        <w:div w:id="100077473">
          <w:marLeft w:val="1166"/>
          <w:marRight w:val="0"/>
          <w:marTop w:val="86"/>
          <w:marBottom w:val="0"/>
          <w:divBdr>
            <w:top w:val="none" w:sz="0" w:space="0" w:color="auto"/>
            <w:left w:val="none" w:sz="0" w:space="0" w:color="auto"/>
            <w:bottom w:val="none" w:sz="0" w:space="0" w:color="auto"/>
            <w:right w:val="none" w:sz="0" w:space="0" w:color="auto"/>
          </w:divBdr>
        </w:div>
        <w:div w:id="1194422209">
          <w:marLeft w:val="1166"/>
          <w:marRight w:val="0"/>
          <w:marTop w:val="86"/>
          <w:marBottom w:val="0"/>
          <w:divBdr>
            <w:top w:val="none" w:sz="0" w:space="0" w:color="auto"/>
            <w:left w:val="none" w:sz="0" w:space="0" w:color="auto"/>
            <w:bottom w:val="none" w:sz="0" w:space="0" w:color="auto"/>
            <w:right w:val="none" w:sz="0" w:space="0" w:color="auto"/>
          </w:divBdr>
        </w:div>
        <w:div w:id="1648852286">
          <w:marLeft w:val="1166"/>
          <w:marRight w:val="0"/>
          <w:marTop w:val="86"/>
          <w:marBottom w:val="0"/>
          <w:divBdr>
            <w:top w:val="none" w:sz="0" w:space="0" w:color="auto"/>
            <w:left w:val="none" w:sz="0" w:space="0" w:color="auto"/>
            <w:bottom w:val="none" w:sz="0" w:space="0" w:color="auto"/>
            <w:right w:val="none" w:sz="0" w:space="0" w:color="auto"/>
          </w:divBdr>
        </w:div>
        <w:div w:id="1928998493">
          <w:marLeft w:val="1166"/>
          <w:marRight w:val="0"/>
          <w:marTop w:val="86"/>
          <w:marBottom w:val="0"/>
          <w:divBdr>
            <w:top w:val="none" w:sz="0" w:space="0" w:color="auto"/>
            <w:left w:val="none" w:sz="0" w:space="0" w:color="auto"/>
            <w:bottom w:val="none" w:sz="0" w:space="0" w:color="auto"/>
            <w:right w:val="none" w:sz="0" w:space="0" w:color="auto"/>
          </w:divBdr>
        </w:div>
        <w:div w:id="1404183673">
          <w:marLeft w:val="1166"/>
          <w:marRight w:val="0"/>
          <w:marTop w:val="86"/>
          <w:marBottom w:val="0"/>
          <w:divBdr>
            <w:top w:val="none" w:sz="0" w:space="0" w:color="auto"/>
            <w:left w:val="none" w:sz="0" w:space="0" w:color="auto"/>
            <w:bottom w:val="none" w:sz="0" w:space="0" w:color="auto"/>
            <w:right w:val="none" w:sz="0" w:space="0" w:color="auto"/>
          </w:divBdr>
        </w:div>
        <w:div w:id="1917591812">
          <w:marLeft w:val="1166"/>
          <w:marRight w:val="0"/>
          <w:marTop w:val="86"/>
          <w:marBottom w:val="0"/>
          <w:divBdr>
            <w:top w:val="none" w:sz="0" w:space="0" w:color="auto"/>
            <w:left w:val="none" w:sz="0" w:space="0" w:color="auto"/>
            <w:bottom w:val="none" w:sz="0" w:space="0" w:color="auto"/>
            <w:right w:val="none" w:sz="0" w:space="0" w:color="auto"/>
          </w:divBdr>
        </w:div>
        <w:div w:id="1496454808">
          <w:marLeft w:val="1166"/>
          <w:marRight w:val="0"/>
          <w:marTop w:val="86"/>
          <w:marBottom w:val="0"/>
          <w:divBdr>
            <w:top w:val="none" w:sz="0" w:space="0" w:color="auto"/>
            <w:left w:val="none" w:sz="0" w:space="0" w:color="auto"/>
            <w:bottom w:val="none" w:sz="0" w:space="0" w:color="auto"/>
            <w:right w:val="none" w:sz="0" w:space="0" w:color="auto"/>
          </w:divBdr>
        </w:div>
        <w:div w:id="2045518852">
          <w:marLeft w:val="1166"/>
          <w:marRight w:val="0"/>
          <w:marTop w:val="86"/>
          <w:marBottom w:val="0"/>
          <w:divBdr>
            <w:top w:val="none" w:sz="0" w:space="0" w:color="auto"/>
            <w:left w:val="none" w:sz="0" w:space="0" w:color="auto"/>
            <w:bottom w:val="none" w:sz="0" w:space="0" w:color="auto"/>
            <w:right w:val="none" w:sz="0" w:space="0" w:color="auto"/>
          </w:divBdr>
        </w:div>
      </w:divsChild>
    </w:div>
    <w:div w:id="1515925063">
      <w:bodyDiv w:val="1"/>
      <w:marLeft w:val="0"/>
      <w:marRight w:val="0"/>
      <w:marTop w:val="0"/>
      <w:marBottom w:val="0"/>
      <w:divBdr>
        <w:top w:val="none" w:sz="0" w:space="0" w:color="auto"/>
        <w:left w:val="none" w:sz="0" w:space="0" w:color="auto"/>
        <w:bottom w:val="none" w:sz="0" w:space="0" w:color="auto"/>
        <w:right w:val="none" w:sz="0" w:space="0" w:color="auto"/>
      </w:divBdr>
      <w:divsChild>
        <w:div w:id="1337340410">
          <w:marLeft w:val="0"/>
          <w:marRight w:val="0"/>
          <w:marTop w:val="0"/>
          <w:marBottom w:val="0"/>
          <w:divBdr>
            <w:top w:val="none" w:sz="0" w:space="0" w:color="auto"/>
            <w:left w:val="none" w:sz="0" w:space="0" w:color="auto"/>
            <w:bottom w:val="none" w:sz="0" w:space="0" w:color="auto"/>
            <w:right w:val="none" w:sz="0" w:space="0" w:color="auto"/>
          </w:divBdr>
          <w:divsChild>
            <w:div w:id="2090612395">
              <w:marLeft w:val="0"/>
              <w:marRight w:val="0"/>
              <w:marTop w:val="0"/>
              <w:marBottom w:val="0"/>
              <w:divBdr>
                <w:top w:val="none" w:sz="0" w:space="0" w:color="auto"/>
                <w:left w:val="none" w:sz="0" w:space="0" w:color="auto"/>
                <w:bottom w:val="none" w:sz="0" w:space="0" w:color="auto"/>
                <w:right w:val="none" w:sz="0" w:space="0" w:color="auto"/>
              </w:divBdr>
              <w:divsChild>
                <w:div w:id="221522216">
                  <w:marLeft w:val="0"/>
                  <w:marRight w:val="0"/>
                  <w:marTop w:val="0"/>
                  <w:marBottom w:val="0"/>
                  <w:divBdr>
                    <w:top w:val="none" w:sz="0" w:space="0" w:color="auto"/>
                    <w:left w:val="none" w:sz="0" w:space="0" w:color="auto"/>
                    <w:bottom w:val="none" w:sz="0" w:space="0" w:color="auto"/>
                    <w:right w:val="none" w:sz="0" w:space="0" w:color="auto"/>
                  </w:divBdr>
                  <w:divsChild>
                    <w:div w:id="3820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uadvice@bournemouth.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ubu.org.uk/ad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PP_x0020_Category xmlns="859D332E-027E-4A46-9354-DAB601C44AA8"/>
    <_Status xmlns="http://schemas.microsoft.com/sharepoint/v3/fields"/>
    <Description0 xmlns="859D332E-027E-4A46-9354-DAB601C44AA8" xsi:nil="true"/>
    <_Coverage xmlns="http://schemas.microsoft.com/sharepoint/v3/fields" xsi:nil="true"/>
    <Target_x0020_Audiences xmlns="859D332E-027E-4A46-9354-DAB601C44AA8" xsi:nil="true"/>
    <ARPP_x0020_Category0 xmlns="859D332E-027E-4A46-9354-DAB601C44AA8"/>
    <_dlc_DocId xmlns="7845b4e5-581f-4554-8843-a411c9829904">ZXDD766ENQDJ-1517430395-3134</_dlc_DocId>
    <_dlc_DocIdUrl xmlns="7845b4e5-581f-4554-8843-a411c9829904">
      <Url>https://intranetsp.bournemouth.ac.uk/_layouts/15/DocIdRedir.aspx?ID=ZXDD766ENQDJ-1517430395-3134</Url>
      <Description>ZXDD766ENQDJ-1517430395-3134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0DDFABE3FE4C42A8E64303AC186DA3" ma:contentTypeVersion="76" ma:contentTypeDescription="Create a new document." ma:contentTypeScope="" ma:versionID="2e10f681fadef5a7500eac7a48e307f0">
  <xsd:schema xmlns:xsd="http://www.w3.org/2001/XMLSchema" xmlns:xs="http://www.w3.org/2001/XMLSchema" xmlns:p="http://schemas.microsoft.com/office/2006/metadata/properties" xmlns:ns2="7845b4e5-581f-4554-8843-a411c9829904" xmlns:ns3="http://schemas.microsoft.com/sharepoint/v3/fields" xmlns:ns4="859D332E-027E-4A46-9354-DAB601C44AA8" targetNamespace="http://schemas.microsoft.com/office/2006/metadata/properties" ma:root="true" ma:fieldsID="14d3590b22827009ba303da2485cf08d" ns2:_="" ns3:_="" ns4:_="">
    <xsd:import namespace="7845b4e5-581f-4554-8843-a411c9829904"/>
    <xsd:import namespace="http://schemas.microsoft.com/sharepoint/v3/fields"/>
    <xsd:import namespace="859D332E-027E-4A46-9354-DAB601C44AA8"/>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3:_Coverage" minOccurs="0"/>
                <xsd:element ref="ns4:Target_x0020_Audiences" minOccurs="0"/>
                <xsd:element ref="ns4:ARPP_x0020_Category" minOccurs="0"/>
                <xsd:element ref="ns4:ARPP_x0020_Category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ARPP Category" ma:internalName="_Status" ma:readOnly="false">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_Coverage" ma:index="14" nillable="true" ma:displayName="For 6.1 regulations use ONLY" ma:description="Enter the Academic year of use: e.g.Regulations for 2012-13, Regulations for 2013-14" ma:internalName="_Coverage" ma:readOnly="false">
      <xsd:simpleType>
        <xsd:restriction base="dms:Text">
          <xsd:maxLength value="15"/>
        </xsd:restriction>
      </xsd:simpleType>
    </xsd:element>
  </xsd:schema>
  <xsd:schema xmlns:xsd="http://www.w3.org/2001/XMLSchema" xmlns:xs="http://www.w3.org/2001/XMLSchema" xmlns:dms="http://schemas.microsoft.com/office/2006/documentManagement/types" xmlns:pc="http://schemas.microsoft.com/office/infopath/2007/PartnerControls" targetNamespace="859D332E-027E-4A46-9354-DAB601C44A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Target_x0020_Audiences" ma:index="15" nillable="true" ma:displayName="Target Audiences" ma:description="Enter ARPP Authors for document Authors only, Staff Readers for staff, Student Readers for Students or leave blank for all to read" ma:internalName="Target_x0020_Audiences" ma:readOnly="false">
      <xsd:simpleType>
        <xsd:restriction base="dms:Unknown"/>
      </xsd:simpleType>
    </xsd:element>
    <xsd:element name="ARPP_x0020_Category" ma:index="16" nillable="true" ma:displayName="ARPP Category" ma:internalName="ARPP_x0020_Category">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element name="ARPP_x0020_Category0" ma:index="17" nillable="true" ma:displayName="ARPP Category" ma:internalName="ARPP_x0020_Category0">
      <xsd:complexType>
        <xsd:complexContent>
          <xsd:extension base="dms:MultiChoice">
            <xsd:sequence>
              <xsd:element name="Value" maxOccurs="unbounded" minOccurs="0" nillable="true">
                <xsd:simpleType>
                  <xsd:restriction base="dms:Choice">
                    <xsd:enumeration value="1: Introduction &amp; Index"/>
                    <xsd:enumeration value="2: Awards &amp; Curriculum"/>
                    <xsd:enumeration value="3.1: Admissions Regulations"/>
                    <xsd:enumeration value="3.2: Admissions, Transfer &amp; APL Policies &amp; Procedures"/>
                    <xsd:enumeration value="4: Programme Approval, Review &amp; Modification"/>
                    <xsd:enumeration value="5: Framework Management, Monitoring &amp; Student Feedback"/>
                    <xsd:enumeration value="6.1: Assessment Regulations"/>
                    <xsd:enumeration value="6.2: Assessment Policies &amp; Procedures"/>
                    <xsd:enumeration value="7: Partnerships"/>
                    <xsd:enumeration value="8: Research Degrees / Research"/>
                    <xsd:enumeration value="9: QAEG &amp; Internal Peer Review/Audit"/>
                    <xsd:enumeration value="10: Committee Management &amp; Records Retention"/>
                    <xsd:enumeration value="11: Student Appeals, Complaints &amp; Conduc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ARPP 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7B480C-9A2F-4FA7-90E1-E26CADB9D7DF}">
  <ds:schemaRefs>
    <ds:schemaRef ds:uri="http://schemas.microsoft.com/sharepoint/v3/contenttype/forms"/>
  </ds:schemaRefs>
</ds:datastoreItem>
</file>

<file path=customXml/itemProps2.xml><?xml version="1.0" encoding="utf-8"?>
<ds:datastoreItem xmlns:ds="http://schemas.openxmlformats.org/officeDocument/2006/customXml" ds:itemID="{44AAFF9F-F39F-4D3A-8881-7EFB508105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1BC97-D10F-4F19-9AA9-E1AA27FD3677}"/>
</file>

<file path=customXml/itemProps4.xml><?xml version="1.0" encoding="utf-8"?>
<ds:datastoreItem xmlns:ds="http://schemas.openxmlformats.org/officeDocument/2006/customXml" ds:itemID="{0788D339-A88C-4D13-A3AC-5F7A976B86CA}"/>
</file>

<file path=docProps/app.xml><?xml version="1.0" encoding="utf-8"?>
<Properties xmlns="http://schemas.openxmlformats.org/officeDocument/2006/extended-properties" xmlns:vt="http://schemas.openxmlformats.org/officeDocument/2006/docPropsVTypes">
  <Template>Normal.dotm</Template>
  <TotalTime>4</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Bournemouth Univeristy</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6H Appendix 4 Guidance on the Provision of Evidence</dc:title>
  <dc:creator>Ella Say</dc:creator>
  <cp:lastModifiedBy>Helen Middleton</cp:lastModifiedBy>
  <cp:revision>5</cp:revision>
  <dcterms:created xsi:type="dcterms:W3CDTF">2022-08-17T12:54:00Z</dcterms:created>
  <dcterms:modified xsi:type="dcterms:W3CDTF">2022-11-02T09:22:00Z</dcterms:modified>
  <cp:category>Form for publication in 2022-23</cp:category>
  <cp:contentStatus>;#6.2: Assessment Policies &amp; Procedures;#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0x0101009C0DDFABE3FE4C42A8E64303AC186DA3</vt:lpwstr>
  </property>
  <property fmtid="{D5CDD505-2E9C-101B-9397-08002B2CF9AE}" pid="3" name="_dlc_DocIdItemGuid">
    <vt:lpwstr>cb35bdab-bef9-49cf-b347-5126bf007cc2</vt:lpwstr>
  </property>
</Properties>
</file>